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</w:pPr>
      <w:bookmarkStart w:id="0" w:name="OLE_LINK1"/>
      <w:r>
        <w:t>小篆便携式打印机OEM定制方案</w:t>
      </w:r>
      <w:r>
        <w:rPr>
          <w:rFonts w:hint="eastAsia"/>
          <w:lang w:val="en-US" w:eastAsia="zh-CN"/>
        </w:rPr>
        <w:t>投资回报计算</w:t>
      </w:r>
    </w:p>
    <w:bookmarkEnd w:id="0"/>
    <w:p/>
    <w:p>
      <w:pPr>
        <w:pStyle w:val="2"/>
      </w:pPr>
      <w:r>
        <w:t>一、产品OEM流程</w:t>
      </w:r>
    </w:p>
    <w:p>
      <w:r>
        <w:t>定制周期说明：</w:t>
      </w:r>
    </w:p>
    <w:p>
      <w:pPr>
        <w:pStyle w:val="15"/>
        <w:numPr>
          <w:ilvl w:val="0"/>
          <w:numId w:val="1"/>
        </w:numPr>
      </w:pPr>
      <w:r>
        <w:t>对于带Wi-Fi机型，目前由于SRRC无线入网认证不能派生，认证需3~4个月，定制周期为4~5个月；</w:t>
      </w:r>
    </w:p>
    <w:p>
      <w:pPr>
        <w:pStyle w:val="15"/>
        <w:numPr>
          <w:ilvl w:val="0"/>
          <w:numId w:val="1"/>
        </w:numPr>
      </w:pPr>
      <w:r>
        <w:t>对于不带Wi-Fi机型，定制周期为2个月。</w:t>
      </w:r>
    </w:p>
    <w:p>
      <w:r>
        <w:t>二、OEM定制研发费用</w:t>
      </w:r>
    </w:p>
    <w:tbl>
      <w:tblPr>
        <w:tblStyle w:val="13"/>
        <w:tblW w:w="10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800"/>
        <w:gridCol w:w="2800"/>
        <w:gridCol w:w="2000"/>
        <w:gridCol w:w="1200"/>
        <w:gridCol w:w="2400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费用项目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费用说明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完成时间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备注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金额(万元)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打印机设备端定制费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含Logo、厂商名、型号等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X1100/X1200每款1.5万元（如需更改外观费用需另计）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PC驱动软件定制费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Windows/Linux/麒麟/UOS/鸿蒙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驱动程序每款0.5万元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0.5</w:t>
            </w:r>
            <w:r>
              <w:rPr>
                <w:rFonts w:hint="eastAsia"/>
                <w:lang w:val="en-US" w:eastAsia="zh-CN"/>
              </w:rPr>
              <w:t>*5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App软件定制费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Android/iOS/鸿蒙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App每平台0.8万元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0.8</w:t>
            </w:r>
            <w:r>
              <w:rPr>
                <w:rFonts w:hint="eastAsia"/>
                <w:lang w:val="en-US" w:eastAsia="zh-CN"/>
              </w:rPr>
              <w:t>*3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微信小程序定制费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微信小程序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云服务器费用每年0.8万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未税费用小计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8.1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税费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研发服务费按6%计算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0.486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含税费用合计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8.586</w:t>
            </w:r>
          </w:p>
        </w:tc>
      </w:tr>
    </w:tbl>
    <w:p/>
    <w:p>
      <w:r>
        <w:rPr>
          <w:b/>
          <w:bCs/>
        </w:rPr>
        <w:t>报价说明：</w:t>
      </w:r>
    </w:p>
    <w:p>
      <w:pPr>
        <w:pStyle w:val="15"/>
        <w:numPr>
          <w:ilvl w:val="0"/>
          <w:numId w:val="1"/>
        </w:numPr>
      </w:pPr>
      <w:r>
        <w:t>以上报价是基于不修改外观的前提下，如客户需要新的外观，新外观的开模费用及设计费用需另行评估。</w:t>
      </w:r>
    </w:p>
    <w:p>
      <w:pPr>
        <w:pStyle w:val="15"/>
        <w:numPr>
          <w:ilvl w:val="0"/>
          <w:numId w:val="1"/>
        </w:numPr>
      </w:pPr>
      <w:r>
        <w:t>如客户提出深度定制需求，将针对具体需求再进行评估。</w:t>
      </w:r>
    </w:p>
    <w:p>
      <w:r>
        <w:br w:type="page"/>
      </w:r>
    </w:p>
    <w:p>
      <w:pPr>
        <w:pStyle w:val="2"/>
      </w:pPr>
      <w:r>
        <w:t>三、认证时间及费用清单</w:t>
      </w:r>
    </w:p>
    <w:tbl>
      <w:tblPr>
        <w:tblStyle w:val="13"/>
        <w:tblW w:w="11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000"/>
        <w:gridCol w:w="2600"/>
        <w:gridCol w:w="1500"/>
        <w:gridCol w:w="1500"/>
        <w:gridCol w:w="1500"/>
        <w:gridCol w:w="1500"/>
        <w:gridCol w:w="2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认证项目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是否强制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能否派生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认证费用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认证时间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CCC强制认证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4,000元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SRRC无线入网认证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不能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4,000元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3~4个月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仅Wi-Fi机型需要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能效认证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不能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3,000元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节能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非强制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RoHS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非强制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十环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非强制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-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/>
        </w:tc>
      </w:tr>
    </w:tbl>
    <w:p/>
    <w:p>
      <w:r>
        <w:t>四、客户需提供的资料清单</w:t>
      </w:r>
    </w:p>
    <w:p>
      <w:pPr>
        <w:pStyle w:val="15"/>
        <w:numPr>
          <w:ilvl w:val="0"/>
          <w:numId w:val="1"/>
        </w:numPr>
      </w:pPr>
      <w:r>
        <w:t>品牌中英文名称</w:t>
      </w:r>
    </w:p>
    <w:p>
      <w:pPr>
        <w:pStyle w:val="15"/>
        <w:numPr>
          <w:ilvl w:val="0"/>
          <w:numId w:val="1"/>
        </w:numPr>
      </w:pPr>
      <w:r>
        <w:t>公司Logo文件</w:t>
      </w:r>
    </w:p>
    <w:p>
      <w:pPr>
        <w:pStyle w:val="15"/>
        <w:numPr>
          <w:ilvl w:val="0"/>
          <w:numId w:val="1"/>
        </w:numPr>
      </w:pPr>
      <w:r>
        <w:t>产品名称及型号</w:t>
      </w:r>
    </w:p>
    <w:p>
      <w:pPr>
        <w:pStyle w:val="15"/>
        <w:numPr>
          <w:ilvl w:val="0"/>
          <w:numId w:val="1"/>
        </w:numPr>
      </w:pPr>
      <w:r>
        <w:t>产品1284字符串</w:t>
      </w:r>
    </w:p>
    <w:p>
      <w:pPr>
        <w:pStyle w:val="15"/>
        <w:numPr>
          <w:ilvl w:val="0"/>
          <w:numId w:val="1"/>
        </w:numPr>
      </w:pPr>
      <w:r>
        <w:t>网站、电话、邮件、地址等</w:t>
      </w:r>
    </w:p>
    <w:p>
      <w:pPr>
        <w:pStyle w:val="15"/>
        <w:numPr>
          <w:ilvl w:val="0"/>
          <w:numId w:val="1"/>
        </w:numPr>
      </w:pPr>
      <w:r>
        <w:t>USB VID/PID（如有）</w:t>
      </w:r>
    </w:p>
    <w:p>
      <w:pPr>
        <w:pStyle w:val="15"/>
        <w:numPr>
          <w:ilvl w:val="0"/>
          <w:numId w:val="1"/>
        </w:numPr>
      </w:pPr>
      <w:r>
        <w:t>外包装箱修改设计内容</w:t>
      </w:r>
    </w:p>
    <w:p>
      <w:pPr>
        <w:pStyle w:val="15"/>
        <w:numPr>
          <w:ilvl w:val="0"/>
          <w:numId w:val="1"/>
        </w:numPr>
      </w:pPr>
      <w:r>
        <w:t>机器上的标签logo铭牌</w:t>
      </w:r>
    </w:p>
    <w:p>
      <w:pPr>
        <w:pStyle w:val="15"/>
        <w:numPr>
          <w:ilvl w:val="0"/>
          <w:numId w:val="1"/>
        </w:numPr>
      </w:pPr>
      <w:r>
        <w:t>墨盒上的标签logo铭牌</w:t>
      </w:r>
    </w:p>
    <w:p>
      <w:pPr>
        <w:pStyle w:val="15"/>
        <w:numPr>
          <w:ilvl w:val="0"/>
          <w:numId w:val="1"/>
        </w:numPr>
      </w:pPr>
      <w:r>
        <w:t>电池上的标签logo铭牌</w:t>
      </w:r>
    </w:p>
    <w:p>
      <w:pPr>
        <w:pStyle w:val="15"/>
        <w:numPr>
          <w:ilvl w:val="0"/>
          <w:numId w:val="1"/>
        </w:numPr>
      </w:pPr>
      <w:r>
        <w:t>用户协议（驱动及App安装）</w:t>
      </w:r>
    </w:p>
    <w:p>
      <w:pPr>
        <w:pStyle w:val="15"/>
        <w:numPr>
          <w:ilvl w:val="0"/>
          <w:numId w:val="1"/>
        </w:numPr>
      </w:pPr>
      <w:r>
        <w:t>售后保修卡内容等</w:t>
      </w:r>
    </w:p>
    <w:p>
      <w:pPr>
        <w:pStyle w:val="15"/>
        <w:numPr>
          <w:ilvl w:val="0"/>
          <w:numId w:val="1"/>
        </w:numPr>
      </w:pPr>
      <w:r>
        <w:t>APP名称</w:t>
      </w:r>
    </w:p>
    <w:p>
      <w:pPr>
        <w:pStyle w:val="15"/>
        <w:numPr>
          <w:ilvl w:val="0"/>
          <w:numId w:val="1"/>
        </w:numPr>
      </w:pPr>
      <w:r>
        <w:t>客户定制需求表</w:t>
      </w:r>
    </w:p>
    <w:p>
      <w:r>
        <w:t>五、定价与收益分析</w:t>
      </w:r>
    </w:p>
    <w:p>
      <w:pPr>
        <w:pStyle w:val="3"/>
      </w:pPr>
      <w:r>
        <w:t>5.1 前期投入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000"/>
        <w:gridCol w:w="2000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金额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OEM定制研发费用（含税）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8.586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含设备端、驱动、App、小程序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CCC强制认证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0.40万元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强制认证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SRRC无线入网认证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0.40万元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仅Wi-Fi机型需要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能效认证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0.30万元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强制认证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合计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9.686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前期总投入</w:t>
            </w:r>
          </w:p>
        </w:tc>
      </w:tr>
    </w:tbl>
    <w:p/>
    <w:p>
      <w:pPr>
        <w:pStyle w:val="3"/>
      </w:pPr>
      <w:r>
        <w:t>5.2 定价分析</w:t>
      </w:r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000"/>
        <w:gridCol w:w="3000"/>
        <w:gridCol w:w="3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数值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产品成本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469元/台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成本价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目标毛利率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≥45%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市场定价参考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建议售价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853元/台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毛利率45%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备选售价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799元/台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更具市场竞争力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小篆定价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999元/台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官方售价</w:t>
            </w:r>
          </w:p>
        </w:tc>
      </w:tr>
    </w:tbl>
    <w:p/>
    <w:p>
      <w:pPr>
        <w:pStyle w:val="3"/>
      </w:pPr>
      <w:r>
        <w:t>5.3 年度收益分析（年销3000台，售价853元）</w:t>
      </w:r>
    </w:p>
    <w:tbl>
      <w:tblPr>
        <w:tblStyle w:val="13"/>
        <w:tblW w:w="8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061"/>
        <w:gridCol w:w="1704"/>
        <w:gridCol w:w="1983"/>
        <w:gridCol w:w="3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运营成本25%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运营成本30%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运营成本35%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年营收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255.90万元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255.90万元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255.90万元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产品成本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140.70万元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140.70万元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140.70万元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734" w:hRule="atLeast"/>
        </w:trPr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运营成本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63.98万元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76.77万元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89.57万元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年度净利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51.22万元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38.43万元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25.63万元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rPr>
                <w:b/>
                <w:bCs/>
              </w:rPr>
              <w:t>回本周期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69天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92天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138天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0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加上定制认证时间5个月</w:t>
            </w:r>
          </w:p>
        </w:tc>
        <w:tc>
          <w:tcPr>
            <w:tcW w:w="17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7个月9天</w:t>
            </w:r>
          </w:p>
        </w:tc>
        <w:tc>
          <w:tcPr>
            <w:tcW w:w="19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8个月2天</w:t>
            </w:r>
          </w:p>
        </w:tc>
        <w:tc>
          <w:tcPr>
            <w:tcW w:w="31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9个月18天</w:t>
            </w:r>
          </w:p>
        </w:tc>
      </w:tr>
    </w:tbl>
    <w:p/>
    <w:p>
      <w:pPr>
        <w:pStyle w:val="3"/>
      </w:pPr>
      <w:r>
        <w:t>5.4 盈亏平衡分析</w:t>
      </w:r>
    </w:p>
    <w:tbl>
      <w:tblPr>
        <w:tblStyle w:val="13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150"/>
        <w:gridCol w:w="2250"/>
        <w:gridCol w:w="2288"/>
        <w:gridCol w:w="1132"/>
        <w:gridCol w:w="25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售价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运营成本占比</w:t>
            </w:r>
          </w:p>
        </w:tc>
        <w:tc>
          <w:tcPr>
            <w:tcW w:w="22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盈亏平衡销量</w:t>
            </w:r>
          </w:p>
        </w:tc>
        <w:tc>
          <w:tcPr>
            <w:tcW w:w="11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回本天数</w:t>
            </w:r>
          </w:p>
        </w:tc>
        <w:tc>
          <w:tcPr>
            <w:tcW w:w="2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运营成本35%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853元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25%</w:t>
            </w:r>
          </w:p>
        </w:tc>
        <w:tc>
          <w:tcPr>
            <w:tcW w:w="22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344台</w:t>
            </w:r>
          </w:p>
        </w:tc>
        <w:tc>
          <w:tcPr>
            <w:tcW w:w="11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42天</w:t>
            </w:r>
          </w:p>
        </w:tc>
        <w:tc>
          <w:tcPr>
            <w:tcW w:w="2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rPr>
                <w:b/>
                <w:bCs/>
              </w:rPr>
              <w:t>853元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30%</w:t>
            </w:r>
          </w:p>
        </w:tc>
        <w:tc>
          <w:tcPr>
            <w:tcW w:w="22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459台</w:t>
            </w:r>
          </w:p>
        </w:tc>
        <w:tc>
          <w:tcPr>
            <w:tcW w:w="11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56天</w:t>
            </w:r>
          </w:p>
        </w:tc>
        <w:tc>
          <w:tcPr>
            <w:tcW w:w="2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1134台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1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799元</w:t>
            </w:r>
          </w:p>
        </w:tc>
        <w:tc>
          <w:tcPr>
            <w:tcW w:w="22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30%</w:t>
            </w:r>
          </w:p>
        </w:tc>
        <w:tc>
          <w:tcPr>
            <w:tcW w:w="22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650台</w:t>
            </w:r>
          </w:p>
        </w:tc>
        <w:tc>
          <w:tcPr>
            <w:tcW w:w="11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79天</w:t>
            </w:r>
          </w:p>
        </w:tc>
        <w:tc>
          <w:tcPr>
            <w:tcW w:w="25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138天</w:t>
            </w:r>
          </w:p>
        </w:tc>
      </w:tr>
    </w:tbl>
    <w:p/>
    <w:p>
      <w:pPr>
        <w:pStyle w:val="3"/>
      </w:pPr>
      <w:r>
        <w:t>5.5 利润率分析（售价853元）</w:t>
      </w:r>
      <w:bookmarkStart w:id="1" w:name="_GoBack"/>
      <w:bookmarkEnd w:id="1"/>
    </w:p>
    <w:tbl>
      <w:tblPr>
        <w:tblStyle w:val="1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4500"/>
        <w:gridCol w:w="4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毛利率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45%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净利率（运营成本25%）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净利率（运营成本30%）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净利率（运营成本35%）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ROI（运营成本25%）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528.8%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ROI（运营成本30%）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396.8%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r>
              <w:t>ROI（运营成本35%）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>
            <w:pPr>
              <w:jc w:val="center"/>
            </w:pPr>
            <w:r>
              <w:t>264.6%</w:t>
            </w:r>
          </w:p>
        </w:tc>
      </w:tr>
    </w:tbl>
    <w:p>
      <w:r>
        <w:br w:type="page"/>
      </w:r>
    </w:p>
    <w:p>
      <w:pPr>
        <w:jc w:val="right"/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55B36"/>
    <w:multiLevelType w:val="singleLevel"/>
    <w:tmpl w:val="69A55B36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B46727"/>
    <w:rsid w:val="08A14A5B"/>
    <w:rsid w:val="11A95D93"/>
    <w:rsid w:val="12581558"/>
    <w:rsid w:val="13DAED6F"/>
    <w:rsid w:val="14DE5B5C"/>
    <w:rsid w:val="16265E88"/>
    <w:rsid w:val="22244739"/>
    <w:rsid w:val="236D3E9F"/>
    <w:rsid w:val="252A6837"/>
    <w:rsid w:val="28FE6EE4"/>
    <w:rsid w:val="29221FEF"/>
    <w:rsid w:val="31C20946"/>
    <w:rsid w:val="3EAD637C"/>
    <w:rsid w:val="441D7851"/>
    <w:rsid w:val="45DF4C2E"/>
    <w:rsid w:val="4A5D7349"/>
    <w:rsid w:val="55650D6E"/>
    <w:rsid w:val="5736272B"/>
    <w:rsid w:val="5FC64E7A"/>
    <w:rsid w:val="6A166AC2"/>
    <w:rsid w:val="6D642FEA"/>
    <w:rsid w:val="75260655"/>
    <w:rsid w:val="78AF151D"/>
    <w:rsid w:val="CE90BAA5"/>
    <w:rsid w:val="F111125F"/>
    <w:rsid w:val="4B5EB070"/>
    <w:rsid w:val="E91E9E7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宋体" w:hAnsi="宋体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80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pPr>
      <w:spacing w:before="240" w:after="240"/>
      <w:jc w:val="center"/>
    </w:pPr>
    <w:rPr>
      <w:rFonts w:ascii="黑体" w:hAnsi="黑体" w:eastAsia="黑体" w:cs="黑体"/>
      <w:b/>
      <w:bCs/>
      <w:color w:val="000000"/>
      <w:sz w:val="40"/>
      <w:szCs w:val="40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character" w:styleId="12">
    <w:name w:val="footnote reference"/>
    <w:unhideWhenUsed/>
    <w:qFormat/>
    <w:uiPriority w:val="99"/>
    <w:rPr>
      <w:vertAlign w:val="superscript"/>
    </w:rPr>
  </w:style>
  <w:style w:type="paragraph" w:customStyle="1" w:styleId="14">
    <w:name w:val="要点1"/>
    <w:qFormat/>
    <w:uiPriority w:val="0"/>
    <w:rPr>
      <w:rFonts w:ascii="宋体" w:hAnsi="宋体" w:eastAsia="宋体" w:cs="宋体"/>
      <w:b/>
      <w:bCs/>
      <w:sz w:val="24"/>
      <w:szCs w:val="24"/>
    </w:rPr>
  </w:style>
  <w:style w:type="paragraph" w:customStyle="1" w:styleId="15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6">
    <w:name w:val="Footnote Text Char"/>
    <w:link w:val="8"/>
    <w:unhideWhenUsed/>
    <w:qFormat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Office_10.8.0.5715_F1E327BC-269C-435d-A152-05C5408002CA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2026-03-02T09:38:00Z</dcterms:created>
  <dc:creator>Un-named</dc:creator>
  <cp:lastModifiedBy>Administrator</cp:lastModifiedBy>
  <dcterms:modified xsi:type="dcterms:W3CDTF">2026-03-09T08:55:10Z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