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60"/>
        <w:jc w:val="center"/>
      </w:pPr>
      <w:r>
        <w:rPr>
          <w:rFonts w:ascii="Arial" w:cs="Arial" w:eastAsia="Arial" w:hAnsi="Arial"/>
          <w:b/>
          <w:bCs/>
          <w:color w:val="1F3864"/>
          <w:sz w:val="56"/>
          <w:szCs w:val="56"/>
        </w:rPr>
        <w:t xml:space="preserve">Credit Default Risk</w:t>
      </w:r>
    </w:p>
    <w:p>
      <w:pPr>
        <w:spacing w:before="0" w:after="60"/>
        <w:jc w:val="center"/>
      </w:pPr>
      <w:r>
        <w:rPr>
          <w:rFonts w:ascii="Arial" w:cs="Arial" w:eastAsia="Arial" w:hAnsi="Arial"/>
          <w:b/>
          <w:bCs/>
          <w:color w:val="2E5EA8"/>
          <w:sz w:val="56"/>
          <w:szCs w:val="56"/>
        </w:rPr>
        <w:t xml:space="preserve">Modeling Benchmark</w:t>
      </w:r>
    </w:p>
    <w:p>
      <w:pPr>
        <w:spacing w:before="0" w:after="400"/>
        <w:jc w:val="center"/>
      </w:pPr>
      <w:r>
        <w:rPr>
          <w:rFonts w:ascii="Arial" w:cs="Arial" w:eastAsia="Arial" w:hAnsi="Arial"/>
          <w:i/>
          <w:iCs/>
          <w:color w:val="666666"/>
          <w:sz w:val="28"/>
          <w:szCs w:val="28"/>
        </w:rPr>
        <w:t xml:space="preserve">Project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0FB" w:val="clear"/>
            <w:tcMar>
              <w:top w:type="dxa" w:w="80"/>
              <w:left w:type="dxa" w:w="150"/>
              <w:bottom w:type="dxa" w:w="80"/>
              <w:right w:type="dxa" w:w="150"/>
            </w:tcMar>
          </w:tcPr>
          <w:p>
            <w:r>
              <w:rPr>
                <w:rFonts w:ascii="Arial" w:cs="Arial" w:eastAsia="Arial" w:hAnsi="Arial"/>
                <w:b/>
                <w:bCs/>
                <w:color w:val="1F3864"/>
                <w:sz w:val="20"/>
                <w:szCs w:val="20"/>
              </w:rPr>
              <w:t xml:space="preserve">Repository</w:t>
            </w:r>
          </w:p>
        </w:tc>
        <w:tc>
          <w:tcPr>
            <w:tcW w:type="dxa" w:w="65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Credit-Default-Risk- (GitHub)</w:t>
            </w:r>
          </w:p>
        </w:tc>
      </w:tr>
      <w:tr>
        <w:tc>
          <w:tcPr>
            <w:tcW w:type="dxa" w:w="2800"/>
            <w:tcBorders>
              <w:top w:val="single" w:color="CCCCCC" w:sz="1"/>
              <w:left w:val="single" w:color="CCCCCC" w:sz="1"/>
              <w:bottom w:val="single" w:color="CCCCCC" w:sz="1"/>
              <w:right w:val="single" w:color="CCCCCC" w:sz="1"/>
            </w:tcBorders>
            <w:shd w:fill="EAF0FB" w:val="clear"/>
            <w:tcMar>
              <w:top w:type="dxa" w:w="80"/>
              <w:left w:type="dxa" w:w="150"/>
              <w:bottom w:type="dxa" w:w="80"/>
              <w:right w:type="dxa" w:w="150"/>
            </w:tcMar>
          </w:tcPr>
          <w:p>
            <w:r>
              <w:rPr>
                <w:rFonts w:ascii="Arial" w:cs="Arial" w:eastAsia="Arial" w:hAnsi="Arial"/>
                <w:b/>
                <w:bCs/>
                <w:color w:val="1F3864"/>
                <w:sz w:val="20"/>
                <w:szCs w:val="20"/>
              </w:rPr>
              <w:t xml:space="preserve">Author</w:t>
            </w:r>
          </w:p>
        </w:tc>
        <w:tc>
          <w:tcPr>
            <w:tcW w:type="dxa" w:w="65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mangoderb-sudo</w:t>
            </w:r>
          </w:p>
        </w:tc>
      </w:tr>
      <w:tr>
        <w:tc>
          <w:tcPr>
            <w:tcW w:type="dxa" w:w="2800"/>
            <w:tcBorders>
              <w:top w:val="single" w:color="CCCCCC" w:sz="1"/>
              <w:left w:val="single" w:color="CCCCCC" w:sz="1"/>
              <w:bottom w:val="single" w:color="CCCCCC" w:sz="1"/>
              <w:right w:val="single" w:color="CCCCCC" w:sz="1"/>
            </w:tcBorders>
            <w:shd w:fill="EAF0FB" w:val="clear"/>
            <w:tcMar>
              <w:top w:type="dxa" w:w="80"/>
              <w:left w:type="dxa" w:w="150"/>
              <w:bottom w:type="dxa" w:w="80"/>
              <w:right w:type="dxa" w:w="150"/>
            </w:tcMar>
          </w:tcPr>
          <w:p>
            <w:r>
              <w:rPr>
                <w:rFonts w:ascii="Arial" w:cs="Arial" w:eastAsia="Arial" w:hAnsi="Arial"/>
                <w:b/>
                <w:bCs/>
                <w:color w:val="1F3864"/>
                <w:sz w:val="20"/>
                <w:szCs w:val="20"/>
              </w:rPr>
              <w:t xml:space="preserve">Domain</w:t>
            </w:r>
          </w:p>
        </w:tc>
        <w:tc>
          <w:tcPr>
            <w:tcW w:type="dxa" w:w="65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Financial Risk Modeling / Machine Learning</w:t>
            </w:r>
          </w:p>
        </w:tc>
      </w:tr>
      <w:tr>
        <w:tc>
          <w:tcPr>
            <w:tcW w:type="dxa" w:w="2800"/>
            <w:tcBorders>
              <w:top w:val="single" w:color="CCCCCC" w:sz="1"/>
              <w:left w:val="single" w:color="CCCCCC" w:sz="1"/>
              <w:bottom w:val="single" w:color="CCCCCC" w:sz="1"/>
              <w:right w:val="single" w:color="CCCCCC" w:sz="1"/>
            </w:tcBorders>
            <w:shd w:fill="EAF0FB" w:val="clear"/>
            <w:tcMar>
              <w:top w:type="dxa" w:w="80"/>
              <w:left w:type="dxa" w:w="150"/>
              <w:bottom w:type="dxa" w:w="80"/>
              <w:right w:type="dxa" w:w="150"/>
            </w:tcMar>
          </w:tcPr>
          <w:p>
            <w:r>
              <w:rPr>
                <w:rFonts w:ascii="Arial" w:cs="Arial" w:eastAsia="Arial" w:hAnsi="Arial"/>
                <w:b/>
                <w:bCs/>
                <w:color w:val="1F3864"/>
                <w:sz w:val="20"/>
                <w:szCs w:val="20"/>
              </w:rPr>
              <w:t xml:space="preserve">Status</w:t>
            </w:r>
          </w:p>
        </w:tc>
        <w:tc>
          <w:tcPr>
            <w:tcW w:type="dxa" w:w="65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Active — 9 commits, main branch</w:t>
            </w:r>
          </w:p>
        </w:tc>
      </w:tr>
    </w:tbl>
    <w:p>
      <w:pPr>
        <w:pBdr>
          <w:bottom w:val="single" w:color="2E5EA8" w:sz="4" w:space="1"/>
        </w:pBdr>
        <w:spacing w:before="120" w:after="120"/>
      </w:pPr>
    </w:p>
    <w:p>
      <w:pPr>
        <w:pStyle w:val="Heading1"/>
        <w:spacing w:before="360" w:after="120"/>
      </w:pPr>
      <w:r>
        <w:rPr>
          <w:rFonts w:ascii="Arial" w:cs="Arial" w:eastAsia="Arial" w:hAnsi="Arial"/>
          <w:b/>
          <w:bCs/>
          <w:color w:val="1F3864"/>
          <w:sz w:val="36"/>
          <w:szCs w:val="36"/>
        </w:rPr>
        <w:t xml:space="preserve">Project Overview</w:t>
      </w:r>
    </w:p>
    <w:p>
      <w:pPr>
        <w:spacing w:before="80" w:after="80"/>
      </w:pPr>
      <w:r>
        <w:rPr>
          <w:rFonts w:ascii="Arial" w:cs="Arial" w:eastAsia="Arial" w:hAnsi="Arial"/>
          <w:color w:val="333333"/>
          <w:sz w:val="22"/>
          <w:szCs w:val="22"/>
        </w:rPr>
        <w:t xml:space="preserve">The Credit Default Risk Modeling Benchmark is a data science project focused on the analysis and prediction of credit default risk using advanced data mining and machine learning techniques. The objective is to understand the key factors that influence borrower default behavior and to build robust predictive models capable of estimating the probability of default with high accuracy.</w:t>
      </w:r>
    </w:p>
    <w:p>
      <w:pPr>
        <w:spacing w:before="80" w:after="80"/>
      </w:pPr>
      <w:r>
        <w:rPr>
          <w:rFonts w:ascii="Arial" w:cs="Arial" w:eastAsia="Arial" w:hAnsi="Arial"/>
          <w:color w:val="333333"/>
          <w:sz w:val="22"/>
          <w:szCs w:val="22"/>
        </w:rPr>
        <w:t xml:space="preserve">This project addresses one of the core challenges in the financial industry: assessing the creditworthiness of borrowers and quantifying the risk of loan default. The insights generated by these models can be used by financial institutions to inform credit decisions, manage risk exposure, and comply with regulatory requirements.</w:t>
      </w:r>
    </w:p>
    <w:p>
      <w:pPr>
        <w:pBdr>
          <w:bottom w:val="single" w:color="2E5EA8" w:sz="4" w:space="1"/>
        </w:pBdr>
        <w:spacing w:before="120" w:after="120"/>
      </w:pPr>
    </w:p>
    <w:p>
      <w:pPr>
        <w:pStyle w:val="Heading1"/>
        <w:spacing w:before="360" w:after="120"/>
      </w:pPr>
      <w:r>
        <w:rPr>
          <w:rFonts w:ascii="Arial" w:cs="Arial" w:eastAsia="Arial" w:hAnsi="Arial"/>
          <w:b/>
          <w:bCs/>
          <w:color w:val="1F3864"/>
          <w:sz w:val="36"/>
          <w:szCs w:val="36"/>
        </w:rPr>
        <w:t xml:space="preserve">Project Architecture</w:t>
      </w:r>
    </w:p>
    <w:p>
      <w:pPr>
        <w:spacing w:before="80" w:after="80"/>
      </w:pPr>
      <w:r>
        <w:rPr>
          <w:rFonts w:ascii="Arial" w:cs="Arial" w:eastAsia="Arial" w:hAnsi="Arial"/>
          <w:color w:val="333333"/>
          <w:sz w:val="22"/>
          <w:szCs w:val="22"/>
        </w:rPr>
        <w:t xml:space="preserve">The project is structured as a series of Jupyter notebooks, each dedicated to a specific phase of the data science pipeline:</w:t>
      </w:r>
    </w:p>
    <w:p>
      <w:pPr>
        <w:spacing w:before="160" w:after="80"/>
      </w:pPr>
      <w:r>
        <w:rPr>
          <w:rFonts w:ascii="Arial" w:cs="Arial" w:eastAsia="Arial" w:hAnsi="Arial"/>
          <w:b/>
          <w:bCs/>
          <w:color w:val="1F3864"/>
          <w:sz w:val="24"/>
          <w:szCs w:val="24"/>
        </w:rPr>
        <w:t xml:space="preserve">Pipeline Notebooks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Notebook</w:t>
            </w:r>
          </w:p>
        </w:tc>
        <w:tc>
          <w:tcPr>
            <w:tcW w:type="dxa" w:w="312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Description</w:t>
            </w:r>
          </w:p>
        </w:tc>
      </w:tr>
      <w:tr>
        <w:tc>
          <w:tcPr>
            <w:tcW w:type="dxa" w:w="624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data-audit.ipynb</w:t>
            </w:r>
          </w:p>
        </w:tc>
        <w:tc>
          <w:tcPr>
            <w:tcW w:type="dxa" w:w="624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Initial data exploration, structure analysis, and quality audit of the raw credit risk dataset sourced from Kaggle.</w:t>
            </w:r>
          </w:p>
        </w:tc>
      </w:tr>
      <w:tr>
        <w:tc>
          <w:tcPr>
            <w:tcW w:type="dxa" w:w="624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pre-process_and_clean.ipynb</w:t>
            </w:r>
          </w:p>
        </w:tc>
        <w:tc>
          <w:tcPr>
            <w:tcW w:type="dxa" w:w="624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Handling of missing values, detection and treatment of outliers, and normalization of features for downstream modeling.</w:t>
            </w:r>
          </w:p>
        </w:tc>
      </w:tr>
      <w:tr>
        <w:tc>
          <w:tcPr>
            <w:tcW w:type="dxa" w:w="624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pre-treatement_column_transformer.ipynb</w:t>
            </w:r>
          </w:p>
        </w:tc>
        <w:tc>
          <w:tcPr>
            <w:tcW w:type="dxa" w:w="624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Construction of a preprocessing pipeline using column transformers, enabling reproducible and scalable feature engineering for logistic regression.</w:t>
            </w:r>
          </w:p>
        </w:tc>
      </w:tr>
      <w:tr>
        <w:tc>
          <w:tcPr>
            <w:tcW w:type="dxa" w:w="624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test_train.ipynb</w:t>
            </w:r>
          </w:p>
        </w:tc>
        <w:tc>
          <w:tcPr>
            <w:tcW w:type="dxa" w:w="624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Splitting of the dataset into training and testing sets following best practices for unbiased model evaluation.</w:t>
            </w:r>
          </w:p>
        </w:tc>
      </w:tr>
      <w:tr>
        <w:tc>
          <w:tcPr>
            <w:tcW w:type="dxa" w:w="624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1stML-LR_ipynb.</w:t>
            </w:r>
          </w:p>
        </w:tc>
        <w:tc>
          <w:tcPr>
            <w:tcW w:type="dxa" w:w="624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Implementation of the first machine learning model (Logistic Regression) along with evaluation metrics including accuracy, precision, recall, F1-score, and ROC-AUC.</w:t>
            </w:r>
          </w:p>
        </w:tc>
      </w:tr>
    </w:tbl>
    <w:p>
      <w:pPr>
        <w:pBdr>
          <w:bottom w:val="single" w:color="2E5EA8" w:sz="4" w:space="1"/>
        </w:pBdr>
        <w:spacing w:before="120" w:after="120"/>
      </w:pPr>
    </w:p>
    <w:p>
      <w:pPr>
        <w:pStyle w:val="Heading1"/>
        <w:spacing w:before="360" w:after="120"/>
      </w:pPr>
      <w:r>
        <w:rPr>
          <w:rFonts w:ascii="Arial" w:cs="Arial" w:eastAsia="Arial" w:hAnsi="Arial"/>
          <w:b/>
          <w:bCs/>
          <w:color w:val="1F3864"/>
          <w:sz w:val="36"/>
          <w:szCs w:val="36"/>
        </w:rPr>
        <w:t xml:space="preserve">Technical Stack</w:t>
      </w:r>
    </w:p>
    <w:p>
      <w:pPr>
        <w:pStyle w:val="Heading2"/>
        <w:spacing w:before="280" w:after="100"/>
      </w:pPr>
      <w:r>
        <w:rPr>
          <w:rFonts w:ascii="Arial" w:cs="Arial" w:eastAsia="Arial" w:hAnsi="Arial"/>
          <w:b/>
          <w:bCs/>
          <w:color w:val="2E5EA8"/>
          <w:sz w:val="26"/>
          <w:szCs w:val="26"/>
        </w:rPr>
        <w:t xml:space="preserve">Data &amp; Preprocessing</w:t>
      </w:r>
    </w:p>
    <w:p>
      <w:pPr>
        <w:pStyle w:val="ListParagraph"/>
        <w:numPr>
          <w:ilvl w:val="0"/>
          <w:numId w:val="2"/>
        </w:numPr>
        <w:spacing w:before="60" w:after="60"/>
      </w:pPr>
      <w:r>
        <w:rPr>
          <w:rFonts w:ascii="Arial" w:cs="Arial" w:eastAsia="Arial" w:hAnsi="Arial"/>
          <w:color w:val="333333"/>
          <w:sz w:val="22"/>
          <w:szCs w:val="22"/>
        </w:rPr>
        <w:t xml:space="preserve">Dataset sourced from Kaggle (credit risk domain)</w:t>
      </w:r>
    </w:p>
    <w:p>
      <w:pPr>
        <w:pStyle w:val="ListParagraph"/>
        <w:numPr>
          <w:ilvl w:val="0"/>
          <w:numId w:val="2"/>
        </w:numPr>
        <w:spacing w:before="60" w:after="60"/>
      </w:pPr>
      <w:r>
        <w:rPr>
          <w:rFonts w:ascii="Arial" w:cs="Arial" w:eastAsia="Arial" w:hAnsi="Arial"/>
          <w:color w:val="333333"/>
          <w:sz w:val="22"/>
          <w:szCs w:val="22"/>
        </w:rPr>
        <w:t xml:space="preserve">Missing value imputation and outlier treatment</w:t>
      </w:r>
    </w:p>
    <w:p>
      <w:pPr>
        <w:pStyle w:val="ListParagraph"/>
        <w:numPr>
          <w:ilvl w:val="0"/>
          <w:numId w:val="2"/>
        </w:numPr>
        <w:spacing w:before="60" w:after="60"/>
      </w:pPr>
      <w:r>
        <w:rPr>
          <w:rFonts w:ascii="Arial" w:cs="Arial" w:eastAsia="Arial" w:hAnsi="Arial"/>
          <w:color w:val="333333"/>
          <w:sz w:val="22"/>
          <w:szCs w:val="22"/>
        </w:rPr>
        <w:t xml:space="preserve">Feature engineering with column transformers</w:t>
      </w:r>
    </w:p>
    <w:p>
      <w:pPr>
        <w:pStyle w:val="ListParagraph"/>
        <w:numPr>
          <w:ilvl w:val="0"/>
          <w:numId w:val="2"/>
        </w:numPr>
        <w:spacing w:before="60" w:after="60"/>
      </w:pPr>
      <w:r>
        <w:rPr>
          <w:rFonts w:ascii="Arial" w:cs="Arial" w:eastAsia="Arial" w:hAnsi="Arial"/>
          <w:color w:val="333333"/>
          <w:sz w:val="22"/>
          <w:szCs w:val="22"/>
        </w:rPr>
        <w:t xml:space="preserve">Stratified train/test splitting</w:t>
      </w:r>
    </w:p>
    <w:p>
      <w:pPr>
        <w:pStyle w:val="Heading2"/>
        <w:spacing w:before="280" w:after="100"/>
      </w:pPr>
      <w:r>
        <w:rPr>
          <w:rFonts w:ascii="Arial" w:cs="Arial" w:eastAsia="Arial" w:hAnsi="Arial"/>
          <w:b/>
          <w:bCs/>
          <w:color w:val="2E5EA8"/>
          <w:sz w:val="26"/>
          <w:szCs w:val="26"/>
        </w:rPr>
        <w:t xml:space="preserve">Machine Learning</w:t>
      </w:r>
    </w:p>
    <w:p>
      <w:pPr>
        <w:pStyle w:val="ListParagraph"/>
        <w:numPr>
          <w:ilvl w:val="0"/>
          <w:numId w:val="2"/>
        </w:numPr>
        <w:spacing w:before="60" w:after="60"/>
      </w:pPr>
      <w:r>
        <w:rPr>
          <w:rFonts w:ascii="Arial" w:cs="Arial" w:eastAsia="Arial" w:hAnsi="Arial"/>
          <w:color w:val="333333"/>
          <w:sz w:val="22"/>
          <w:szCs w:val="22"/>
        </w:rPr>
        <w:t xml:space="preserve">Logistic Regression as baseline model</w:t>
      </w:r>
    </w:p>
    <w:p>
      <w:pPr>
        <w:pStyle w:val="ListParagraph"/>
        <w:numPr>
          <w:ilvl w:val="0"/>
          <w:numId w:val="2"/>
        </w:numPr>
        <w:spacing w:before="60" w:after="60"/>
      </w:pPr>
      <w:r>
        <w:rPr>
          <w:rFonts w:ascii="Arial" w:cs="Arial" w:eastAsia="Arial" w:hAnsi="Arial"/>
          <w:color w:val="333333"/>
          <w:sz w:val="22"/>
          <w:szCs w:val="22"/>
        </w:rPr>
        <w:t xml:space="preserve">Evaluation metrics: Accuracy, Precision, Recall, F1-Score, ROC-AUC</w:t>
      </w:r>
    </w:p>
    <w:p>
      <w:pPr>
        <w:pStyle w:val="ListParagraph"/>
        <w:numPr>
          <w:ilvl w:val="0"/>
          <w:numId w:val="2"/>
        </w:numPr>
        <w:spacing w:before="60" w:after="60"/>
      </w:pPr>
      <w:r>
        <w:rPr>
          <w:rFonts w:ascii="Arial" w:cs="Arial" w:eastAsia="Arial" w:hAnsi="Arial"/>
          <w:color w:val="333333"/>
          <w:sz w:val="22"/>
          <w:szCs w:val="22"/>
        </w:rPr>
        <w:t xml:space="preserve">Modular pipeline design for easy model benchmarking</w:t>
      </w:r>
    </w:p>
    <w:p>
      <w:pPr>
        <w:pStyle w:val="ListParagraph"/>
        <w:numPr>
          <w:ilvl w:val="0"/>
          <w:numId w:val="2"/>
        </w:numPr>
        <w:spacing w:before="60" w:after="60"/>
      </w:pPr>
      <w:r>
        <w:rPr>
          <w:rFonts w:ascii="Arial" w:cs="Arial" w:eastAsia="Arial" w:hAnsi="Arial"/>
          <w:color w:val="333333"/>
          <w:sz w:val="22"/>
          <w:szCs w:val="22"/>
        </w:rPr>
        <w:t xml:space="preserve">Reproducible preprocessing with scikit-learn Pipeline</w:t>
      </w:r>
    </w:p>
    <w:p>
      <w:pPr>
        <w:pStyle w:val="Heading2"/>
        <w:spacing w:before="280" w:after="100"/>
      </w:pPr>
      <w:r>
        <w:rPr>
          <w:rFonts w:ascii="Arial" w:cs="Arial" w:eastAsia="Arial" w:hAnsi="Arial"/>
          <w:b/>
          <w:bCs/>
          <w:color w:val="2E5EA8"/>
          <w:sz w:val="26"/>
          <w:szCs w:val="26"/>
        </w:rPr>
        <w:t xml:space="preserve">Tools &amp; Technologies</w:t>
      </w:r>
    </w:p>
    <w:p>
      <w:pPr>
        <w:pStyle w:val="ListParagraph"/>
        <w:numPr>
          <w:ilvl w:val="0"/>
          <w:numId w:val="2"/>
        </w:numPr>
        <w:spacing w:before="60" w:after="60"/>
      </w:pPr>
      <w:r>
        <w:rPr>
          <w:rFonts w:ascii="Arial" w:cs="Arial" w:eastAsia="Arial" w:hAnsi="Arial"/>
          <w:color w:val="333333"/>
          <w:sz w:val="22"/>
          <w:szCs w:val="22"/>
        </w:rPr>
        <w:t xml:space="preserve">Python (Jupyter Notebooks)</w:t>
      </w:r>
    </w:p>
    <w:p>
      <w:pPr>
        <w:pStyle w:val="ListParagraph"/>
        <w:numPr>
          <w:ilvl w:val="0"/>
          <w:numId w:val="2"/>
        </w:numPr>
        <w:spacing w:before="60" w:after="60"/>
      </w:pPr>
      <w:r>
        <w:rPr>
          <w:rFonts w:ascii="Arial" w:cs="Arial" w:eastAsia="Arial" w:hAnsi="Arial"/>
          <w:color w:val="333333"/>
          <w:sz w:val="22"/>
          <w:szCs w:val="22"/>
        </w:rPr>
        <w:t xml:space="preserve">pandas, NumPy — data manipulation</w:t>
      </w:r>
    </w:p>
    <w:p>
      <w:pPr>
        <w:pStyle w:val="ListParagraph"/>
        <w:numPr>
          <w:ilvl w:val="0"/>
          <w:numId w:val="2"/>
        </w:numPr>
        <w:spacing w:before="60" w:after="60"/>
      </w:pPr>
      <w:r>
        <w:rPr>
          <w:rFonts w:ascii="Arial" w:cs="Arial" w:eastAsia="Arial" w:hAnsi="Arial"/>
          <w:color w:val="333333"/>
          <w:sz w:val="22"/>
          <w:szCs w:val="22"/>
        </w:rPr>
        <w:t xml:space="preserve">scikit-learn — modeling and evaluation</w:t>
      </w:r>
    </w:p>
    <w:p>
      <w:pPr>
        <w:pStyle w:val="ListParagraph"/>
        <w:numPr>
          <w:ilvl w:val="0"/>
          <w:numId w:val="2"/>
        </w:numPr>
        <w:spacing w:before="60" w:after="60"/>
      </w:pPr>
      <w:r>
        <w:rPr>
          <w:rFonts w:ascii="Arial" w:cs="Arial" w:eastAsia="Arial" w:hAnsi="Arial"/>
          <w:color w:val="333333"/>
          <w:sz w:val="22"/>
          <w:szCs w:val="22"/>
        </w:rPr>
        <w:t xml:space="preserve">matplotlib / seaborn — data visualization</w:t>
      </w:r>
    </w:p>
    <w:p>
      <w:pPr>
        <w:pStyle w:val="ListParagraph"/>
        <w:numPr>
          <w:ilvl w:val="0"/>
          <w:numId w:val="2"/>
        </w:numPr>
        <w:spacing w:before="60" w:after="60"/>
      </w:pPr>
      <w:r>
        <w:rPr>
          <w:rFonts w:ascii="Arial" w:cs="Arial" w:eastAsia="Arial" w:hAnsi="Arial"/>
          <w:color w:val="333333"/>
          <w:sz w:val="22"/>
          <w:szCs w:val="22"/>
        </w:rPr>
        <w:t xml:space="preserve">Git &amp; GitHub — version control</w:t>
      </w:r>
    </w:p>
    <w:p>
      <w:pPr>
        <w:pBdr>
          <w:bottom w:val="single" w:color="2E5EA8" w:sz="4" w:space="1"/>
        </w:pBdr>
        <w:spacing w:before="120" w:after="120"/>
      </w:pPr>
    </w:p>
    <w:p>
      <w:pPr>
        <w:pStyle w:val="Heading1"/>
        <w:spacing w:before="360" w:after="120"/>
      </w:pPr>
      <w:r>
        <w:rPr>
          <w:rFonts w:ascii="Arial" w:cs="Arial" w:eastAsia="Arial" w:hAnsi="Arial"/>
          <w:b/>
          <w:bCs/>
          <w:color w:val="1F3864"/>
          <w:sz w:val="36"/>
          <w:szCs w:val="36"/>
        </w:rPr>
        <w:t xml:space="preserve">Key Objectives</w:t>
      </w:r>
    </w:p>
    <w:p>
      <w:pPr>
        <w:spacing w:before="80" w:after="80"/>
      </w:pPr>
      <w:r>
        <w:rPr>
          <w:rFonts w:ascii="Arial" w:cs="Arial" w:eastAsia="Arial" w:hAnsi="Arial"/>
          <w:color w:val="333333"/>
          <w:sz w:val="22"/>
          <w:szCs w:val="22"/>
        </w:rPr>
        <w:t xml:space="preserve">This project pursues the following research and engineering goals:</w:t>
      </w:r>
    </w:p>
    <w:p>
      <w:pPr>
        <w:pStyle w:val="ListParagraph"/>
        <w:numPr>
          <w:ilvl w:val="0"/>
          <w:numId w:val="2"/>
        </w:numPr>
        <w:spacing w:before="60" w:after="60"/>
      </w:pPr>
      <w:r>
        <w:rPr>
          <w:rFonts w:ascii="Arial" w:cs="Arial" w:eastAsia="Arial" w:hAnsi="Arial"/>
          <w:color w:val="333333"/>
          <w:sz w:val="22"/>
          <w:szCs w:val="22"/>
        </w:rPr>
        <w:t xml:space="preserve">Identify and quantify the key features that drive borrower default behavior</w:t>
      </w:r>
    </w:p>
    <w:p>
      <w:pPr>
        <w:pStyle w:val="ListParagraph"/>
        <w:numPr>
          <w:ilvl w:val="0"/>
          <w:numId w:val="2"/>
        </w:numPr>
        <w:spacing w:before="60" w:after="60"/>
      </w:pPr>
      <w:r>
        <w:rPr>
          <w:rFonts w:ascii="Arial" w:cs="Arial" w:eastAsia="Arial" w:hAnsi="Arial"/>
          <w:color w:val="333333"/>
          <w:sz w:val="22"/>
          <w:szCs w:val="22"/>
        </w:rPr>
        <w:t xml:space="preserve">Build a reproducible, modular ML pipeline from raw data to evaluated model</w:t>
      </w:r>
    </w:p>
    <w:p>
      <w:pPr>
        <w:pStyle w:val="ListParagraph"/>
        <w:numPr>
          <w:ilvl w:val="0"/>
          <w:numId w:val="2"/>
        </w:numPr>
        <w:spacing w:before="60" w:after="60"/>
      </w:pPr>
      <w:r>
        <w:rPr>
          <w:rFonts w:ascii="Arial" w:cs="Arial" w:eastAsia="Arial" w:hAnsi="Arial"/>
          <w:color w:val="333333"/>
          <w:sz w:val="22"/>
          <w:szCs w:val="22"/>
        </w:rPr>
        <w:t xml:space="preserve">Benchmark multiple classification models to find the optimal approach for default prediction</w:t>
      </w:r>
    </w:p>
    <w:p>
      <w:pPr>
        <w:pStyle w:val="ListParagraph"/>
        <w:numPr>
          <w:ilvl w:val="0"/>
          <w:numId w:val="2"/>
        </w:numPr>
        <w:spacing w:before="60" w:after="60"/>
      </w:pPr>
      <w:r>
        <w:rPr>
          <w:rFonts w:ascii="Arial" w:cs="Arial" w:eastAsia="Arial" w:hAnsi="Arial"/>
          <w:color w:val="333333"/>
          <w:sz w:val="22"/>
          <w:szCs w:val="22"/>
        </w:rPr>
        <w:t xml:space="preserve">Generate probability-of-default scores suitable for integration into credit scoring systems</w:t>
      </w:r>
    </w:p>
    <w:p>
      <w:pPr>
        <w:pStyle w:val="ListParagraph"/>
        <w:numPr>
          <w:ilvl w:val="0"/>
          <w:numId w:val="2"/>
        </w:numPr>
        <w:spacing w:before="60" w:after="60"/>
      </w:pPr>
      <w:r>
        <w:rPr>
          <w:rFonts w:ascii="Arial" w:cs="Arial" w:eastAsia="Arial" w:hAnsi="Arial"/>
          <w:color w:val="333333"/>
          <w:sz w:val="22"/>
          <w:szCs w:val="22"/>
        </w:rPr>
        <w:t xml:space="preserve">Demonstrate best practices in financial data science including data leakage prevention and robust evaluation</w:t>
      </w:r>
    </w:p>
    <w:p>
      <w:pPr>
        <w:pBdr>
          <w:bottom w:val="single" w:color="2E5EA8" w:sz="4" w:space="1"/>
        </w:pBdr>
        <w:spacing w:before="120" w:after="120"/>
      </w:pPr>
    </w:p>
    <w:p>
      <w:pPr>
        <w:pStyle w:val="Heading1"/>
        <w:spacing w:before="360" w:after="120"/>
      </w:pPr>
      <w:r>
        <w:rPr>
          <w:rFonts w:ascii="Arial" w:cs="Arial" w:eastAsia="Arial" w:hAnsi="Arial"/>
          <w:b/>
          <w:bCs/>
          <w:color w:val="1F3864"/>
          <w:sz w:val="36"/>
          <w:szCs w:val="36"/>
        </w:rPr>
        <w:t xml:space="preserve">Dataset</w:t>
      </w:r>
    </w:p>
    <w:p>
      <w:pPr>
        <w:spacing w:before="80" w:after="80"/>
      </w:pPr>
      <w:r>
        <w:rPr>
          <w:rFonts w:ascii="Arial" w:cs="Arial" w:eastAsia="Arial" w:hAnsi="Arial"/>
          <w:color w:val="333333"/>
          <w:sz w:val="22"/>
          <w:szCs w:val="22"/>
        </w:rPr>
        <w:t xml:space="preserve">The dataset is a credit risk dataset available on Kaggle, containing borrower financial profiles and historical default outcomes. It includes features typical in credit scoring applications such as income, debt ratios, credit history, loan amount, and employment information.</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Attribute</w:t>
            </w:r>
          </w:p>
        </w:tc>
        <w:tc>
          <w:tcPr>
            <w:tcW w:type="dxa" w:w="312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Detail</w:t>
            </w:r>
          </w:p>
        </w:tc>
      </w:tr>
      <w:tr>
        <w:tc>
          <w:tcPr>
            <w:tcW w:type="dxa" w:w="624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Source</w:t>
            </w:r>
          </w:p>
        </w:tc>
        <w:tc>
          <w:tcPr>
            <w:tcW w:type="dxa" w:w="624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Kaggle — Credit Risk Dataset</w:t>
            </w:r>
          </w:p>
        </w:tc>
      </w:tr>
      <w:tr>
        <w:tc>
          <w:tcPr>
            <w:tcW w:type="dxa" w:w="624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Task Type</w:t>
            </w:r>
          </w:p>
        </w:tc>
        <w:tc>
          <w:tcPr>
            <w:tcW w:type="dxa" w:w="624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Binary Classification (Default / No Default)</w:t>
            </w:r>
          </w:p>
        </w:tc>
      </w:tr>
      <w:tr>
        <w:tc>
          <w:tcPr>
            <w:tcW w:type="dxa" w:w="624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Target Variable</w:t>
            </w:r>
          </w:p>
        </w:tc>
        <w:tc>
          <w:tcPr>
            <w:tcW w:type="dxa" w:w="624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Probability of Default (PD)</w:t>
            </w:r>
          </w:p>
        </w:tc>
      </w:tr>
      <w:tr>
        <w:tc>
          <w:tcPr>
            <w:tcW w:type="dxa" w:w="624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Features</w:t>
            </w:r>
          </w:p>
        </w:tc>
        <w:tc>
          <w:tcPr>
            <w:tcW w:type="dxa" w:w="624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Financial, demographic, and credit history attributes</w:t>
            </w:r>
          </w:p>
        </w:tc>
      </w:tr>
    </w:tbl>
    <w:p>
      <w:pPr>
        <w:pBdr>
          <w:bottom w:val="single" w:color="2E5EA8" w:sz="4" w:space="1"/>
        </w:pBdr>
        <w:spacing w:before="120" w:after="120"/>
      </w:pPr>
    </w:p>
    <w:p>
      <w:pPr>
        <w:pStyle w:val="Heading1"/>
        <w:spacing w:before="360" w:after="120"/>
      </w:pPr>
      <w:r>
        <w:rPr>
          <w:rFonts w:ascii="Arial" w:cs="Arial" w:eastAsia="Arial" w:hAnsi="Arial"/>
          <w:b/>
          <w:bCs/>
          <w:color w:val="1F3864"/>
          <w:sz w:val="36"/>
          <w:szCs w:val="36"/>
        </w:rPr>
        <w:t xml:space="preserve">Roadmap</w:t>
      </w:r>
    </w:p>
    <w:p>
      <w:pPr>
        <w:spacing w:before="80" w:after="80"/>
      </w:pPr>
      <w:r>
        <w:rPr>
          <w:rFonts w:ascii="Arial" w:cs="Arial" w:eastAsia="Arial" w:hAnsi="Arial"/>
          <w:color w:val="333333"/>
          <w:sz w:val="22"/>
          <w:szCs w:val="22"/>
        </w:rPr>
        <w:t xml:space="preserve">The project is planned to evolve with the following upcoming phases:</w:t>
      </w:r>
    </w:p>
    <w:p>
      <w:pPr>
        <w:pStyle w:val="ListParagraph"/>
        <w:numPr>
          <w:ilvl w:val="0"/>
          <w:numId w:val="2"/>
        </w:numPr>
        <w:spacing w:before="60" w:after="60"/>
      </w:pPr>
      <w:r>
        <w:rPr>
          <w:rFonts w:ascii="Arial" w:cs="Arial" w:eastAsia="Arial" w:hAnsi="Arial"/>
          <w:color w:val="333333"/>
          <w:sz w:val="22"/>
          <w:szCs w:val="22"/>
        </w:rPr>
        <w:t xml:space="preserve">Integration of additional classification models: Random Forest, XGBoost, LightGBM</w:t>
      </w:r>
    </w:p>
    <w:p>
      <w:pPr>
        <w:pStyle w:val="ListParagraph"/>
        <w:numPr>
          <w:ilvl w:val="0"/>
          <w:numId w:val="2"/>
        </w:numPr>
        <w:spacing w:before="60" w:after="60"/>
      </w:pPr>
      <w:r>
        <w:rPr>
          <w:rFonts w:ascii="Arial" w:cs="Arial" w:eastAsia="Arial" w:hAnsi="Arial"/>
          <w:color w:val="333333"/>
          <w:sz w:val="22"/>
          <w:szCs w:val="22"/>
        </w:rPr>
        <w:t xml:space="preserve">Hyperparameter tuning and cross-validation</w:t>
      </w:r>
    </w:p>
    <w:p>
      <w:pPr>
        <w:pStyle w:val="ListParagraph"/>
        <w:numPr>
          <w:ilvl w:val="0"/>
          <w:numId w:val="2"/>
        </w:numPr>
        <w:spacing w:before="60" w:after="60"/>
      </w:pPr>
      <w:r>
        <w:rPr>
          <w:rFonts w:ascii="Arial" w:cs="Arial" w:eastAsia="Arial" w:hAnsi="Arial"/>
          <w:color w:val="333333"/>
          <w:sz w:val="22"/>
          <w:szCs w:val="22"/>
        </w:rPr>
        <w:t xml:space="preserve">SHAP-based feature importance analysis for model interpretability</w:t>
      </w:r>
    </w:p>
    <w:p>
      <w:pPr>
        <w:pStyle w:val="ListParagraph"/>
        <w:numPr>
          <w:ilvl w:val="0"/>
          <w:numId w:val="2"/>
        </w:numPr>
        <w:spacing w:before="60" w:after="60"/>
      </w:pPr>
      <w:r>
        <w:rPr>
          <w:rFonts w:ascii="Arial" w:cs="Arial" w:eastAsia="Arial" w:hAnsi="Arial"/>
          <w:color w:val="333333"/>
          <w:sz w:val="22"/>
          <w:szCs w:val="22"/>
        </w:rPr>
        <w:t xml:space="preserve">Comparison dashboard to benchmark all models side-by-side</w:t>
      </w:r>
    </w:p>
    <w:p>
      <w:pPr>
        <w:pStyle w:val="ListParagraph"/>
        <w:numPr>
          <w:ilvl w:val="0"/>
          <w:numId w:val="2"/>
        </w:numPr>
        <w:spacing w:before="60" w:after="60"/>
      </w:pPr>
      <w:r>
        <w:rPr>
          <w:rFonts w:ascii="Arial" w:cs="Arial" w:eastAsia="Arial" w:hAnsi="Arial"/>
          <w:color w:val="333333"/>
          <w:sz w:val="22"/>
          <w:szCs w:val="22"/>
        </w:rPr>
        <w:t xml:space="preserve">Final benchmark report with performance tables and visualizations</w:t>
      </w:r>
    </w:p>
    <w:p>
      <w:pPr>
        <w:spacing w:before="400"/>
      </w:pPr>
    </w:p>
    <w:p>
      <w:pPr>
        <w:pBdr>
          <w:top w:val="single" w:color="CCCCCC" w:sz="4" w:space="1"/>
        </w:pBdr>
        <w:spacing w:before="120" w:after="0"/>
        <w:jc w:val="center"/>
      </w:pPr>
      <w:r>
        <w:rPr>
          <w:rFonts w:ascii="Arial" w:cs="Arial" w:eastAsia="Arial" w:hAnsi="Arial"/>
          <w:i/>
          <w:iCs/>
          <w:color w:val="888888"/>
          <w:sz w:val="18"/>
          <w:szCs w:val="18"/>
        </w:rPr>
        <w:t xml:space="preserve">github.com/mangoderb-sudo/Credit-Default-Risk-  •  Machine Learning  •  Financial Risk</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5EA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2026-03-02T09:57:46.249Z</dcterms:created>
  <dcterms:modified xsi:type="dcterms:W3CDTF">2026-03-02T09:57:46.251Z</dcterms:modified>
</cp:coreProperties>
</file>

<file path=docProps/custom.xml><?xml version="1.0" encoding="utf-8"?>
<Properties xmlns="http://schemas.openxmlformats.org/officeDocument/2006/custom-properties" xmlns:vt="http://schemas.openxmlformats.org/officeDocument/2006/docPropsVTypes"/>
</file>