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000000"/>
          <w:sz w:val="22"/>
          <w:szCs w:val="22"/>
        </w:rPr>
        <w:t xml:space="preserve"/>
      </w:r>
    </w:p>
    <w:p>
      <w:pPr>
        <w:spacing w:after="80"/>
      </w:pPr>
      <w:r>
        <w:rPr>
          <w:rFonts w:ascii="Arial" w:cs="Arial" w:eastAsia="Arial" w:hAnsi="Arial"/>
          <w:color w:val="000000"/>
          <w:sz w:val="22"/>
          <w:szCs w:val="22"/>
        </w:rPr>
        <w:t xml:space="preserve"/>
      </w:r>
    </w:p>
    <w:p>
      <w:pPr>
        <w:spacing w:after="80"/>
      </w:pPr>
      <w:r>
        <w:rPr>
          <w:rFonts w:ascii="Arial" w:cs="Arial" w:eastAsia="Arial" w:hAnsi="Arial"/>
          <w:color w:val="000000"/>
          <w:sz w:val="22"/>
          <w:szCs w:val="22"/>
        </w:rPr>
        <w:t xml:space="preserve"/>
      </w:r>
    </w:p>
    <w:p>
      <w:pPr>
        <w:spacing w:after="80"/>
      </w:pPr>
      <w:r>
        <w:rPr>
          <w:rFonts w:ascii="Arial" w:cs="Arial" w:eastAsia="Arial" w:hAnsi="Arial"/>
          <w:color w:val="000000"/>
          <w:sz w:val="22"/>
          <w:szCs w:val="22"/>
        </w:rPr>
        <w:t xml:space="preserve"/>
      </w:r>
    </w:p>
    <w:p>
      <w:pPr>
        <w:spacing w:after="80"/>
        <w:jc w:val="center"/>
      </w:pPr>
      <w:r>
        <w:rPr>
          <w:rFonts w:ascii="Arial" w:cs="Arial" w:eastAsia="Arial" w:hAnsi="Arial"/>
          <w:b/>
          <w:bCs/>
          <w:color w:val="000000"/>
          <w:sz w:val="20"/>
          <w:szCs w:val="20"/>
        </w:rPr>
        <w:t xml:space="preserve">HUNTINGTON TECHNOLOGY OPERATIONS</w:t>
      </w:r>
    </w:p>
    <w:p>
      <w:pPr>
        <w:spacing w:after="80"/>
        <w:jc w:val="center"/>
      </w:pPr>
      <w:r>
        <w:rPr>
          <w:rFonts w:ascii="Arial" w:cs="Arial" w:eastAsia="Arial" w:hAnsi="Arial"/>
          <w:color w:val="000000"/>
          <w:sz w:val="20"/>
          <w:szCs w:val="20"/>
        </w:rPr>
        <w:t xml:space="preserve">Cybersecurity / Tech Ops / Illuminati Team</w:t>
      </w:r>
    </w:p>
    <w:p>
      <w:pPr>
        <w:spacing w:after="80"/>
      </w:pPr>
      <w:r>
        <w:rPr>
          <w:rFonts w:ascii="Arial" w:cs="Arial" w:eastAsia="Arial" w:hAnsi="Arial"/>
          <w:color w:val="000000"/>
          <w:sz w:val="22"/>
          <w:szCs w:val="22"/>
        </w:rPr>
        <w:t xml:space="preserve"/>
      </w:r>
    </w:p>
    <w:p>
      <w:pPr>
        <w:spacing w:after="80"/>
      </w:pPr>
      <w:r>
        <w:rPr>
          <w:rFonts w:ascii="Arial" w:cs="Arial" w:eastAsia="Arial" w:hAnsi="Arial"/>
          <w:color w:val="000000"/>
          <w:sz w:val="22"/>
          <w:szCs w:val="22"/>
        </w:rPr>
        <w:t xml:space="preserve"/>
      </w:r>
    </w:p>
    <w:p>
      <w:pPr>
        <w:pBdr>
          <w:top w:val="single" w:color="000000" w:sz="12" w:space="8"/>
          <w:bottom w:val="single" w:color="000000" w:sz="12" w:space="8"/>
        </w:pBdr>
        <w:spacing w:after="80"/>
        <w:jc w:val="center"/>
      </w:pPr>
      <w:r>
        <w:rPr>
          <w:rFonts w:ascii="Arial" w:cs="Arial" w:eastAsia="Arial" w:hAnsi="Arial"/>
          <w:b/>
          <w:bCs/>
          <w:color w:val="000000"/>
          <w:sz w:val="64"/>
          <w:szCs w:val="64"/>
        </w:rPr>
        <w:t xml:space="preserve">Container Onboarding</w:t>
      </w:r>
    </w:p>
    <w:p>
      <w:pPr>
        <w:spacing w:after="80"/>
        <w:jc w:val="center"/>
      </w:pPr>
      <w:r>
        <w:rPr>
          <w:rFonts w:ascii="Arial" w:cs="Arial" w:eastAsia="Arial" w:hAnsi="Arial"/>
          <w:color w:val="000000"/>
          <w:sz w:val="36"/>
          <w:szCs w:val="36"/>
        </w:rPr>
        <w:t xml:space="preserve">Application Team Guide</w:t>
      </w:r>
    </w:p>
    <w:p>
      <w:pPr>
        <w:spacing w:after="80"/>
      </w:pPr>
      <w:r>
        <w:rPr>
          <w:rFonts w:ascii="Arial" w:cs="Arial" w:eastAsia="Arial" w:hAnsi="Arial"/>
          <w:color w:val="000000"/>
          <w:sz w:val="22"/>
          <w:szCs w:val="22"/>
        </w:rPr>
        <w:t xml:space="preserve"/>
      </w:r>
    </w:p>
    <w:p>
      <w:pPr>
        <w:spacing w:after="80"/>
      </w:pPr>
      <w:r>
        <w:rPr>
          <w:rFonts w:ascii="Arial" w:cs="Arial" w:eastAsia="Arial" w:hAnsi="Arial"/>
          <w:color w:val="000000"/>
          <w:sz w:val="22"/>
          <w:szCs w:val="22"/>
        </w:rPr>
        <w:t xml:space="preserve"/>
      </w:r>
    </w:p>
    <w:p>
      <w:pPr>
        <w:spacing w:after="60"/>
        <w:jc w:val="center"/>
      </w:pPr>
      <w:r>
        <w:rPr>
          <w:rFonts w:ascii="Arial" w:cs="Arial" w:eastAsia="Arial" w:hAnsi="Arial"/>
          <w:color w:val="000000"/>
          <w:sz w:val="22"/>
          <w:szCs w:val="22"/>
        </w:rPr>
        <w:t xml:space="preserve">Illumio Microsegmentation Integration</w:t>
      </w:r>
    </w:p>
    <w:p>
      <w:pPr>
        <w:spacing w:after="60"/>
        <w:jc w:val="center"/>
      </w:pPr>
      <w:r>
        <w:rPr>
          <w:rFonts w:ascii="Arial" w:cs="Arial" w:eastAsia="Arial" w:hAnsi="Arial"/>
          <w:color w:val="000000"/>
          <w:sz w:val="20"/>
          <w:szCs w:val="20"/>
        </w:rPr>
        <w:t xml:space="preserve">FND-17108  |  ADO US-2598492  |  Sprint 26-07</w:t>
      </w:r>
    </w:p>
    <w:p>
      <w:pPr>
        <w:spacing w:after="60"/>
        <w:jc w:val="center"/>
      </w:pPr>
      <w:r>
        <w:rPr>
          <w:rFonts w:ascii="Arial" w:cs="Arial" w:eastAsia="Arial" w:hAnsi="Arial"/>
          <w:color w:val="000000"/>
          <w:sz w:val="20"/>
          <w:szCs w:val="20"/>
        </w:rPr>
        <w:t xml:space="preserve">Version 1.0  |  April 6, 2026</w:t>
      </w:r>
    </w:p>
    <w:p>
      <w:pPr>
        <w:spacing w:after="80"/>
      </w:pPr>
      <w:r>
        <w:rPr>
          <w:rFonts w:ascii="Arial" w:cs="Arial" w:eastAsia="Arial" w:hAnsi="Arial"/>
          <w:color w:val="000000"/>
          <w:sz w:val="22"/>
          <w:szCs w:val="22"/>
        </w:rPr>
        <w:t xml:space="preserve"/>
      </w:r>
    </w:p>
    <w:p>
      <w:pPr>
        <w:spacing w:after="80"/>
      </w:pPr>
      <w:r>
        <w:rPr>
          <w:rFonts w:ascii="Arial" w:cs="Arial" w:eastAsia="Arial" w:hAnsi="Arial"/>
          <w:color w:val="000000"/>
          <w:sz w:val="22"/>
          <w:szCs w:val="22"/>
        </w:rPr>
        <w:t xml:space="preserve"/>
      </w:r>
    </w:p>
    <w:p>
      <w:pPr>
        <w:spacing w:after="60"/>
        <w:jc w:val="center"/>
      </w:pPr>
      <w:r>
        <w:rPr>
          <w:rFonts w:ascii="Arial" w:cs="Arial" w:eastAsia="Arial" w:hAnsi="Arial"/>
          <w:i/>
          <w:iCs/>
          <w:color w:val="000000"/>
          <w:sz w:val="20"/>
          <w:szCs w:val="20"/>
        </w:rPr>
        <w:t xml:space="preserve">This document is intended for application teams onboarding containerized workloads</w:t>
      </w:r>
    </w:p>
    <w:p>
      <w:pPr>
        <w:spacing w:after="60"/>
        <w:jc w:val="center"/>
      </w:pPr>
      <w:r>
        <w:rPr>
          <w:rFonts w:ascii="Arial" w:cs="Arial" w:eastAsia="Arial" w:hAnsi="Arial"/>
          <w:i/>
          <w:iCs/>
          <w:color w:val="000000"/>
          <w:sz w:val="20"/>
          <w:szCs w:val="20"/>
        </w:rPr>
        <w:t xml:space="preserve">into Huntington Illumio-managed Kubernetes environments.</w:t>
      </w:r>
    </w:p>
    <w:p>
      <w:r>
        <w:br w:type="page"/>
      </w:r>
    </w:p>
    <w:p>
      <w:pPr>
        <w:pBdr>
          <w:bottom w:val="single" w:color="000000" w:sz="6" w:space="4"/>
        </w:pBdr>
        <w:spacing w:after="200"/>
      </w:pPr>
      <w:r>
        <w:rPr>
          <w:rFonts w:ascii="Arial" w:cs="Arial" w:eastAsia="Arial" w:hAnsi="Arial"/>
          <w:b/>
          <w:bCs/>
          <w:color w:val="000000"/>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000000" w:sz="6" w:space="4"/>
        </w:pBdr>
        <w:spacing w:after="160" w:before="360"/>
      </w:pPr>
      <w:r>
        <w:rPr>
          <w:rFonts w:ascii="Arial" w:cs="Arial" w:eastAsia="Arial" w:hAnsi="Arial"/>
          <w:b/>
          <w:bCs/>
          <w:color w:val="000000"/>
          <w:sz w:val="32"/>
          <w:szCs w:val="32"/>
        </w:rPr>
        <w:t xml:space="preserve">1.  Prerequisites and Requirements</w:t>
      </w:r>
    </w:p>
    <w:p>
      <w:pPr>
        <w:spacing w:after="8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1.1  Who This Guide Applies To</w:t>
      </w:r>
    </w:p>
    <w:p>
      <w:pPr>
        <w:spacing w:after="140"/>
      </w:pPr>
      <w:r>
        <w:rPr>
          <w:rFonts w:ascii="Arial" w:cs="Arial" w:eastAsia="Arial" w:hAnsi="Arial"/>
          <w:color w:val="000000"/>
          <w:sz w:val="22"/>
          <w:szCs w:val="22"/>
        </w:rPr>
        <w:t xml:space="preserve">This guide applies to any Huntington application team deploying containerized workloads into Kubernetes or OpenShift clusters managed under the Illumio PCE. This includes net-new container deployments, migrations from VM-based workloads to containers, and teams updating existing container configurations.</w:t>
      </w:r>
    </w:p>
    <w:p>
      <w:pPr>
        <w:spacing w:after="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20"/>
              <w:left w:type="dxa" w:w="200"/>
              <w:bottom w:type="dxa" w:w="120"/>
              <w:right w:type="dxa" w:w="200"/>
            </w:tcMar>
          </w:tcPr>
          <w:p>
            <w:pPr>
              <w:spacing w:after="60"/>
            </w:pPr>
            <w:r>
              <w:rPr>
                <w:rFonts w:ascii="Arial" w:cs="Arial" w:eastAsia="Arial" w:hAnsi="Arial"/>
                <w:b/>
                <w:bCs/>
                <w:color w:val="000000"/>
                <w:sz w:val="20"/>
                <w:szCs w:val="20"/>
              </w:rPr>
              <w:t xml:space="preserve">Scope</w:t>
            </w:r>
          </w:p>
          <w:p>
            <w:pPr>
              <w:spacing w:after="40"/>
            </w:pPr>
            <w:r>
              <w:rPr>
                <w:rFonts w:ascii="Arial" w:cs="Arial" w:eastAsia="Arial" w:hAnsi="Arial"/>
                <w:color w:val="000000"/>
                <w:sz w:val="20"/>
                <w:szCs w:val="20"/>
              </w:rPr>
              <w:t xml:space="preserve">All container workloads deployed to Huntington-managed clusters are subject to Illumio microsegmentation policy. There are no exceptions. Workloads that do not meet the requirements in this document will be flagged as non-compliant and may be subject to enforcement action.</w:t>
            </w:r>
          </w:p>
        </w:tc>
      </w:tr>
    </w:tbl>
    <w:p>
      <w:pPr>
        <w:spacing w:after="8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1.2  Prerequisites</w:t>
      </w:r>
    </w:p>
    <w:p>
      <w:pPr>
        <w:spacing w:after="140"/>
      </w:pPr>
      <w:r>
        <w:rPr>
          <w:rFonts w:ascii="Arial" w:cs="Arial" w:eastAsia="Arial" w:hAnsi="Arial"/>
          <w:color w:val="000000"/>
          <w:sz w:val="22"/>
          <w:szCs w:val="22"/>
        </w:rPr>
        <w:t xml:space="preserve">Before beginning onboarding, your team must have the following in place:</w:t>
      </w:r>
    </w:p>
    <w:p>
      <w:pPr>
        <w:spacing w:after="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Requirement</w:t>
            </w:r>
          </w:p>
        </w:tc>
        <w:tc>
          <w:tcPr>
            <w:tcW w:type="dxa" w:w="69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Detail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ADO Work Item</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An active ADO user story or spike ticket scoped to your application onboarding. Provide the ADO ID to the Illuminati team as part of onboarding intake.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Cluster Access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Access to the target Kubernetes or OpenShift cluster. Confirm with your platform team which cluster and namespace your workload will deploy to.</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Application Labels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Your application's Illumio label set confirmed: App ID (e.g., A-APP-256708), Environment (PD or non-PD), Role (web, app, db, middleware), Location.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Huntington Image Registry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Container images must be sourced from the Huntington-approved image registry. IBM-sourced base images are not permitted. See Section 2.</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ECOPS Coordination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Engage ECOPS for any scripting or automation enhancements required for your onboarding. The Illuminati team will help identify automation opportunities.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Namespace Labels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Your deployment namespace must be pre-labeled before workloads are deployed. Coordinate with the platform team to have labels applied.</w:t>
            </w:r>
          </w:p>
        </w:tc>
      </w:tr>
    </w:tbl>
    <w:p>
      <w:pPr>
        <w:spacing w:after="8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1.3  Contacts and Escalation</w:t>
      </w:r>
    </w:p>
    <w:p>
      <w:pPr>
        <w:spacing w:after="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Team</w:t>
            </w:r>
          </w:p>
        </w:tc>
        <w:tc>
          <w:tcPr>
            <w:tcW w:type="dxa" w:w="69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Responsibility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Illuminati Team (PCE Admin)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Primary contact for Illumio PCE questions, policy issues, label configuration, and onboarding validation. Raise via ADO or Teams channel.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ECOPS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Owns scripting and automation enhancements for container onboarding. Contact for webhook behavior, template enforcement scripts, and change control.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Platform / Container Team</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Owns cluster infrastructure, namespace creation, and Helm chart deployment. Contact for cluster access, DaemonSet status, and node issues.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Security Architecture (ARB)</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Required for any architectural deviations or exceptions to the standards in this document. Exceptions must be ARB-approved before deployment.</w:t>
            </w:r>
          </w:p>
        </w:tc>
      </w:tr>
    </w:tbl>
    <w:p>
      <w:pPr>
        <w:spacing w:after="80"/>
      </w:pPr>
      <w:r>
        <w:rPr>
          <w:rFonts w:ascii="Arial" w:cs="Arial" w:eastAsia="Arial" w:hAnsi="Arial"/>
          <w:color w:val="000000"/>
          <w:sz w:val="22"/>
          <w:szCs w:val="22"/>
        </w:rPr>
        <w:t xml:space="preserve"/>
      </w:r>
    </w:p>
    <w:p>
      <w:r>
        <w:br w:type="page"/>
      </w:r>
    </w:p>
    <w:p>
      <w:pPr>
        <w:pStyle w:val="Heading1"/>
        <w:pBdr>
          <w:bottom w:val="single" w:color="000000" w:sz="6" w:space="4"/>
        </w:pBdr>
        <w:spacing w:after="160" w:before="360"/>
      </w:pPr>
      <w:r>
        <w:rPr>
          <w:rFonts w:ascii="Arial" w:cs="Arial" w:eastAsia="Arial" w:hAnsi="Arial"/>
          <w:b/>
          <w:bCs/>
          <w:color w:val="000000"/>
          <w:sz w:val="32"/>
          <w:szCs w:val="32"/>
        </w:rPr>
        <w:t xml:space="preserve">2.  Container Template Standards</w:t>
      </w:r>
    </w:p>
    <w:p>
      <w:pPr>
        <w:spacing w:after="8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2.1  The Huntington Container Template Requirement</w:t>
      </w:r>
    </w:p>
    <w:p>
      <w:pPr>
        <w:spacing w:after="140"/>
      </w:pPr>
      <w:r>
        <w:rPr>
          <w:rFonts w:ascii="Arial" w:cs="Arial" w:eastAsia="Arial" w:hAnsi="Arial"/>
          <w:color w:val="000000"/>
          <w:sz w:val="22"/>
          <w:szCs w:val="22"/>
        </w:rPr>
        <w:t xml:space="preserve">All containerized workloads deployed at Huntington must use the Huntington-approved container template. This is a non-negotiable security requirement. The Huntington template pre-configures the required Illumio label annotations, security contexts, resource limits, and namespace conventions that allow the Illumio PCE to correctly identify, classify, and apply policy to your workload.</w:t>
      </w:r>
    </w:p>
    <w:p>
      <w:pPr>
        <w:spacing w:after="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20"/>
              <w:left w:type="dxa" w:w="200"/>
              <w:bottom w:type="dxa" w:w="120"/>
              <w:right w:type="dxa" w:w="200"/>
            </w:tcMar>
          </w:tcPr>
          <w:p>
            <w:pPr>
              <w:spacing w:after="60"/>
            </w:pPr>
            <w:r>
              <w:rPr>
                <w:rFonts w:ascii="Arial" w:cs="Arial" w:eastAsia="Arial" w:hAnsi="Arial"/>
                <w:b/>
                <w:bCs/>
                <w:color w:val="000000"/>
                <w:sz w:val="20"/>
                <w:szCs w:val="20"/>
              </w:rPr>
              <w:t xml:space="preserve">Critical — No IBM-Sourced Templates</w:t>
            </w:r>
          </w:p>
          <w:p>
            <w:pPr>
              <w:spacing w:after="40"/>
            </w:pPr>
            <w:r>
              <w:rPr>
                <w:rFonts w:ascii="Arial" w:cs="Arial" w:eastAsia="Arial" w:hAnsi="Arial"/>
                <w:color w:val="000000"/>
                <w:sz w:val="20"/>
                <w:szCs w:val="20"/>
              </w:rPr>
              <w:t xml:space="preserve">Applications must NOT use IBM-sourced container templates. IBM-sourced templates do not include the required Huntington Illumio label annotations and will cause workloads to register in the PCE without correct App, Env, Role, and Loc labels, resulting in policy gaps and potential compliance violations. If you are currently using an IBM-sourced template, you must migrate to the Huntington template as part of this onboarding.</w:t>
            </w:r>
          </w:p>
        </w:tc>
      </w:tr>
    </w:tbl>
    <w:p>
      <w:pPr>
        <w:spacing w:after="8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2.2  What the Huntington Template Provides</w:t>
      </w:r>
    </w:p>
    <w:p>
      <w:pPr>
        <w:spacing w:after="140"/>
      </w:pPr>
      <w:r>
        <w:rPr>
          <w:rFonts w:ascii="Arial" w:cs="Arial" w:eastAsia="Arial" w:hAnsi="Arial"/>
          <w:color w:val="000000"/>
          <w:sz w:val="22"/>
          <w:szCs w:val="22"/>
        </w:rPr>
        <w:t xml:space="preserve">The approved Huntington container template includes the following pre-configured elements:</w:t>
      </w:r>
    </w:p>
    <w:p>
      <w:pPr>
        <w:spacing w:after="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Element</w:t>
            </w:r>
          </w:p>
        </w:tc>
        <w:tc>
          <w:tcPr>
            <w:tcW w:type="dxa" w:w="40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What It Configures</w:t>
            </w:r>
          </w:p>
        </w:tc>
        <w:tc>
          <w:tcPr>
            <w:tcW w:type="dxa" w:w="31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Why It Is Required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Illumio label annotations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Namespace and pod-level annotations for App, Env, Role, Loc</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Required for PCE workload identification and policy matching</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Security context</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Non-root user enforcement, read-only root filesystem, dropped capabilities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CIS Kubernetes benchmark compliance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Resource limits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Default CPU and memory requests and limits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Prevents resource exhaustion; required for scheduler placement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Image pull policy</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Always — forces pull from Huntington registry on every deploy</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Ensures approved images; prevents stale cached images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Liveness and readiness probes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Default probe templates for HTTP and TCP workloads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Required for proper Kubernetes lifecycle management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Network policy stub</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Base deny-all NetworkPolicy with annotation hooks for Illumio</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Foundation for microsegmentation enforcement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Labels block</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Standardized label schema matching Illumio label_mapping config</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Required for Kubelink to sync labels to PCE correctly</w:t>
            </w:r>
          </w:p>
        </w:tc>
      </w:tr>
    </w:tbl>
    <w:p>
      <w:pPr>
        <w:spacing w:after="8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2.3  Obtaining the Huntington Template</w:t>
      </w:r>
    </w:p>
    <w:p>
      <w:pPr>
        <w:spacing w:after="140"/>
      </w:pPr>
      <w:r>
        <w:rPr>
          <w:rFonts w:ascii="Arial" w:cs="Arial" w:eastAsia="Arial" w:hAnsi="Arial"/>
          <w:color w:val="000000"/>
          <w:sz w:val="22"/>
          <w:szCs w:val="22"/>
        </w:rPr>
        <w:t xml:space="preserve">The approved template is maintained in the Huntington internal container repository. Contact the Platform or Container team or the Illuminati team to obtain the current version. Do not use templates sourced from public repositories, IBM documentation, or vendor quickstart guides without first validating them against the Huntington template requirements.</w:t>
      </w:r>
    </w:p>
    <w:p>
      <w:pPr>
        <w:spacing w:after="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20"/>
              <w:left w:type="dxa" w:w="200"/>
              <w:bottom w:type="dxa" w:w="120"/>
              <w:right w:type="dxa" w:w="200"/>
            </w:tcMar>
          </w:tcPr>
          <w:p>
            <w:pPr>
              <w:spacing w:after="60"/>
            </w:pPr>
            <w:r>
              <w:rPr>
                <w:rFonts w:ascii="Arial" w:cs="Arial" w:eastAsia="Arial" w:hAnsi="Arial"/>
                <w:b/>
                <w:bCs/>
                <w:color w:val="000000"/>
                <w:sz w:val="20"/>
                <w:szCs w:val="20"/>
              </w:rPr>
              <w:t xml:space="preserve">Template Validation</w:t>
            </w:r>
          </w:p>
          <w:p>
            <w:pPr>
              <w:spacing w:after="40"/>
            </w:pPr>
            <w:r>
              <w:rPr>
                <w:rFonts w:ascii="Arial" w:cs="Arial" w:eastAsia="Arial" w:hAnsi="Arial"/>
                <w:color w:val="000000"/>
                <w:sz w:val="20"/>
                <w:szCs w:val="20"/>
              </w:rPr>
              <w:t xml:space="preserve">If you are unsure whether your existing template is Huntington-approved, provide it to the Illuminati team for review before deployment. The team will compare it against the required annotation schema and flag any gaps.</w:t>
            </w:r>
          </w:p>
        </w:tc>
      </w:tr>
    </w:tbl>
    <w:p>
      <w:pPr>
        <w:spacing w:after="8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2.4  Required Label Schema</w:t>
      </w:r>
    </w:p>
    <w:p>
      <w:pPr>
        <w:spacing w:after="140"/>
      </w:pPr>
      <w:r>
        <w:rPr>
          <w:rFonts w:ascii="Arial" w:cs="Arial" w:eastAsia="Arial" w:hAnsi="Arial"/>
          <w:color w:val="000000"/>
          <w:sz w:val="22"/>
          <w:szCs w:val="22"/>
        </w:rPr>
        <w:t xml:space="preserve">The following labels must be present on your namespace and pod spec for Kubelink to correctly map your workload to Illumio labels in the PCE. Missing any of these will result in the workload registering with IP-only identification and no policy coverage.</w:t>
      </w:r>
    </w:p>
    <w:p>
      <w:pPr>
        <w:spacing w:after="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40"/>
              <w:left w:type="dxa" w:w="200"/>
              <w:bottom w:type="dxa" w:w="140"/>
              <w:right w:type="dxa" w:w="200"/>
            </w:tcMar>
          </w:tcPr>
          <w:p>
            <w:pPr>
              <w:spacing w:after="40"/>
            </w:pPr>
            <w:r>
              <w:rPr>
                <w:rFonts w:ascii="Courier New" w:cs="Courier New" w:eastAsia="Courier New" w:hAnsi="Courier New"/>
                <w:color w:val="000000"/>
                <w:sz w:val="19"/>
                <w:szCs w:val="19"/>
              </w:rPr>
              <w:t xml:space="preserve"># Required namespace labels (apply before deploying any pods)</w:t>
            </w:r>
          </w:p>
          <w:p>
            <w:pPr>
              <w:spacing w:after="40"/>
            </w:pPr>
            <w:r>
              <w:rPr>
                <w:rFonts w:ascii="Courier New" w:cs="Courier New" w:eastAsia="Courier New" w:hAnsi="Courier New"/>
                <w:color w:val="000000"/>
                <w:sz w:val="19"/>
                <w:szCs w:val="19"/>
              </w:rPr>
              <w:t xml:space="preserve">apiVersion: v1</w:t>
            </w:r>
          </w:p>
          <w:p>
            <w:pPr>
              <w:spacing w:after="40"/>
            </w:pPr>
            <w:r>
              <w:rPr>
                <w:rFonts w:ascii="Courier New" w:cs="Courier New" w:eastAsia="Courier New" w:hAnsi="Courier New"/>
                <w:color w:val="000000"/>
                <w:sz w:val="19"/>
                <w:szCs w:val="19"/>
              </w:rPr>
              <w:t xml:space="preserve">kind: Namespace</w:t>
            </w:r>
          </w:p>
          <w:p>
            <w:pPr>
              <w:spacing w:after="40"/>
            </w:pPr>
            <w:r>
              <w:rPr>
                <w:rFonts w:ascii="Courier New" w:cs="Courier New" w:eastAsia="Courier New" w:hAnsi="Courier New"/>
                <w:color w:val="000000"/>
                <w:sz w:val="19"/>
                <w:szCs w:val="19"/>
              </w:rPr>
              <w:t xml:space="preserve">metadata:</w:t>
            </w:r>
          </w:p>
          <w:p>
            <w:pPr>
              <w:spacing w:after="40"/>
            </w:pPr>
            <w:r>
              <w:rPr>
                <w:rFonts w:ascii="Courier New" w:cs="Courier New" w:eastAsia="Courier New" w:hAnsi="Courier New"/>
                <w:color w:val="000000"/>
                <w:sz w:val="19"/>
                <w:szCs w:val="19"/>
              </w:rPr>
              <w:t xml:space="preserve">  name: &lt;your-namespace&gt;</w:t>
            </w:r>
          </w:p>
          <w:p>
            <w:pPr>
              <w:spacing w:after="40"/>
            </w:pPr>
            <w:r>
              <w:rPr>
                <w:rFonts w:ascii="Courier New" w:cs="Courier New" w:eastAsia="Courier New" w:hAnsi="Courier New"/>
                <w:color w:val="000000"/>
                <w:sz w:val="19"/>
                <w:szCs w:val="19"/>
              </w:rPr>
              <w:t xml:space="preserve">  labels:</w:t>
            </w:r>
          </w:p>
          <w:p>
            <w:pPr>
              <w:spacing w:after="40"/>
            </w:pPr>
            <w:r>
              <w:rPr>
                <w:rFonts w:ascii="Courier New" w:cs="Courier New" w:eastAsia="Courier New" w:hAnsi="Courier New"/>
                <w:color w:val="000000"/>
                <w:sz w:val="19"/>
                <w:szCs w:val="19"/>
              </w:rPr>
              <w:t xml:space="preserve">    illumio-app: "A-APP-&lt;your-app-id&gt;"   # e.g., A-APP-256708</w:t>
            </w:r>
          </w:p>
          <w:p>
            <w:pPr>
              <w:spacing w:after="40"/>
            </w:pPr>
            <w:r>
              <w:rPr>
                <w:rFonts w:ascii="Courier New" w:cs="Courier New" w:eastAsia="Courier New" w:hAnsi="Courier New"/>
                <w:color w:val="000000"/>
                <w:sz w:val="19"/>
                <w:szCs w:val="19"/>
              </w:rPr>
              <w:t xml:space="preserve">    illumio-env: "&lt;environment&gt;"           # pd | nonprod | dev | uat</w:t>
            </w:r>
          </w:p>
          <w:p>
            <w:pPr>
              <w:spacing w:after="40"/>
            </w:pPr>
            <w:r>
              <w:rPr>
                <w:rFonts w:ascii="Courier New" w:cs="Courier New" w:eastAsia="Courier New" w:hAnsi="Courier New"/>
                <w:color w:val="000000"/>
                <w:sz w:val="19"/>
                <w:szCs w:val="19"/>
              </w:rPr>
              <w:t xml:space="preserve">    illumio-loc: "&lt;location&gt;"              # datacenter | cloud region</w:t>
            </w:r>
          </w:p>
          <w:p>
            <w:pPr>
              <w:spacing w:after="40"/>
            </w:pPr>
            <w:r>
              <w:rPr>
                <w:rFonts w:ascii="Courier New" w:cs="Courier New" w:eastAsia="Courier New" w:hAnsi="Courier New"/>
                <w:color w:val="000000"/>
                <w:sz w:val="19"/>
                <w:szCs w:val="19"/>
              </w:rPr>
              <w:t xml:space="preserve"/>
            </w:r>
          </w:p>
          <w:p>
            <w:pPr>
              <w:spacing w:after="40"/>
            </w:pPr>
            <w:r>
              <w:rPr>
                <w:rFonts w:ascii="Courier New" w:cs="Courier New" w:eastAsia="Courier New" w:hAnsi="Courier New"/>
                <w:color w:val="000000"/>
                <w:sz w:val="19"/>
                <w:szCs w:val="19"/>
              </w:rPr>
              <w:t xml:space="preserve"># Required pod labels (Deployment spec.template.metadata.labels)</w:t>
            </w:r>
          </w:p>
          <w:p>
            <w:pPr>
              <w:spacing w:after="40"/>
            </w:pPr>
            <w:r>
              <w:rPr>
                <w:rFonts w:ascii="Courier New" w:cs="Courier New" w:eastAsia="Courier New" w:hAnsi="Courier New"/>
                <w:color w:val="000000"/>
                <w:sz w:val="19"/>
                <w:szCs w:val="19"/>
              </w:rPr>
              <w:t xml:space="preserve">labels:</w:t>
            </w:r>
          </w:p>
          <w:p>
            <w:pPr>
              <w:spacing w:after="40"/>
            </w:pPr>
            <w:r>
              <w:rPr>
                <w:rFonts w:ascii="Courier New" w:cs="Courier New" w:eastAsia="Courier New" w:hAnsi="Courier New"/>
                <w:color w:val="000000"/>
                <w:sz w:val="19"/>
                <w:szCs w:val="19"/>
              </w:rPr>
              <w:t xml:space="preserve">  illumio-role: "&lt;role&gt;"                  # web | app | db | middleware | api</w:t>
            </w:r>
          </w:p>
          <w:p>
            <w:pPr>
              <w:spacing w:after="40"/>
            </w:pPr>
            <w:r>
              <w:rPr>
                <w:rFonts w:ascii="Courier New" w:cs="Courier New" w:eastAsia="Courier New" w:hAnsi="Courier New"/>
                <w:color w:val="000000"/>
                <w:sz w:val="19"/>
                <w:szCs w:val="19"/>
              </w:rPr>
              <w:t xml:space="preserve">  illumio-app:  "A-APP-&lt;your-app-id&gt;"     # repeat here for pod-level matching</w:t>
            </w:r>
          </w:p>
          <w:p>
            <w:pPr>
              <w:spacing w:after="0"/>
            </w:pPr>
            <w:r>
              <w:rPr>
                <w:rFonts w:ascii="Courier New" w:cs="Courier New" w:eastAsia="Courier New" w:hAnsi="Courier New"/>
                <w:color w:val="000000"/>
                <w:sz w:val="19"/>
                <w:szCs w:val="19"/>
              </w:rPr>
              <w:t xml:space="preserve">  illumio-env:  "&lt;environment&gt;"           # must match namespace label</w:t>
            </w:r>
          </w:p>
        </w:tc>
      </w:tr>
    </w:tbl>
    <w:p>
      <w:pPr>
        <w:spacing w:after="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20"/>
              <w:left w:type="dxa" w:w="200"/>
              <w:bottom w:type="dxa" w:w="120"/>
              <w:right w:type="dxa" w:w="200"/>
            </w:tcMar>
          </w:tcPr>
          <w:p>
            <w:pPr>
              <w:spacing w:after="60"/>
            </w:pPr>
            <w:r>
              <w:rPr>
                <w:rFonts w:ascii="Arial" w:cs="Arial" w:eastAsia="Arial" w:hAnsi="Arial"/>
                <w:b/>
                <w:bCs/>
                <w:color w:val="000000"/>
                <w:sz w:val="20"/>
                <w:szCs w:val="20"/>
              </w:rPr>
              <w:t xml:space="preserve">App ID Format</w:t>
            </w:r>
          </w:p>
          <w:p>
            <w:pPr>
              <w:spacing w:after="40"/>
            </w:pPr>
            <w:r>
              <w:rPr>
                <w:rFonts w:ascii="Arial" w:cs="Arial" w:eastAsia="Arial" w:hAnsi="Arial"/>
                <w:color w:val="000000"/>
                <w:sz w:val="20"/>
                <w:szCs w:val="20"/>
              </w:rPr>
              <w:t xml:space="preserve">The Application label must use the Huntington format: A-APP-&lt;numeric-id&gt;. Do not use raw numeric IDs (e.g., 256708), AWS app IDs with hyphens (e.g., 256708-01), or free-text names. The Illumio PCE and policy rules are built against the A-APP- prefix format. Incorrect format means no policy match.</w:t>
            </w:r>
          </w:p>
        </w:tc>
      </w:tr>
    </w:tbl>
    <w:p>
      <w:pPr>
        <w:spacing w:after="80"/>
      </w:pPr>
      <w:r>
        <w:rPr>
          <w:rFonts w:ascii="Arial" w:cs="Arial" w:eastAsia="Arial" w:hAnsi="Arial"/>
          <w:color w:val="000000"/>
          <w:sz w:val="22"/>
          <w:szCs w:val="22"/>
        </w:rPr>
        <w:t xml:space="preserve"/>
      </w:r>
    </w:p>
    <w:p>
      <w:r>
        <w:br w:type="page"/>
      </w:r>
    </w:p>
    <w:p>
      <w:pPr>
        <w:pStyle w:val="Heading1"/>
        <w:pBdr>
          <w:bottom w:val="single" w:color="000000" w:sz="6" w:space="4"/>
        </w:pBdr>
        <w:spacing w:after="160" w:before="360"/>
      </w:pPr>
      <w:r>
        <w:rPr>
          <w:rFonts w:ascii="Arial" w:cs="Arial" w:eastAsia="Arial" w:hAnsi="Arial"/>
          <w:b/>
          <w:bCs/>
          <w:color w:val="000000"/>
          <w:sz w:val="32"/>
          <w:szCs w:val="32"/>
        </w:rPr>
        <w:t xml:space="preserve">3.  Environment Annotations and Webhook Behavior</w:t>
      </w:r>
    </w:p>
    <w:p>
      <w:pPr>
        <w:spacing w:after="8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3.1  Environment Annotation Overview</w:t>
      </w:r>
    </w:p>
    <w:p>
      <w:pPr>
        <w:spacing w:after="140"/>
      </w:pPr>
      <w:r>
        <w:rPr>
          <w:rFonts w:ascii="Arial" w:cs="Arial" w:eastAsia="Arial" w:hAnsi="Arial"/>
          <w:color w:val="000000"/>
          <w:sz w:val="22"/>
          <w:szCs w:val="22"/>
        </w:rPr>
        <w:t xml:space="preserve">The environment annotation on your container workload tells Illumio which policy tier applies to that workload — production (PD) or non-production. This annotation drives which rulesets are evaluated, what traffic is permitted, and what audit trail is generated. Getting this annotation right is critical: production policy is significantly more restrictive than non-production.</w:t>
      </w:r>
    </w:p>
    <w:p>
      <w:pPr>
        <w:spacing w:after="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Annotation Value</w:t>
            </w:r>
          </w:p>
        </w:tc>
        <w:tc>
          <w:tcPr>
            <w:tcW w:type="dxa" w:w="75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Policy Behavior</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pd</w:t>
            </w:r>
          </w:p>
        </w:tc>
        <w:tc>
          <w:tcPr>
            <w:tcW w:type="dxa" w:w="7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Production — most restrictive policy tier. Full enforcement. All unmatched traffic blocked. Audit logging mandatory.</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nonprod</w:t>
            </w:r>
          </w:p>
        </w:tc>
        <w:tc>
          <w:tcPr>
            <w:tcW w:type="dxa" w:w="7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Non-production — standard enforcement. Permissive for internal dev and test traffic. Restricted from prod network segments.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uat</w:t>
            </w:r>
          </w:p>
        </w:tc>
        <w:tc>
          <w:tcPr>
            <w:tcW w:type="dxa" w:w="7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User Acceptance Testing — treated as non-production for policy purposes. Isolated from pd segments.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dev</w:t>
            </w:r>
          </w:p>
        </w:tc>
        <w:tc>
          <w:tcPr>
            <w:tcW w:type="dxa" w:w="7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Development — most permissive within the non-production tier. Visibility-only enforcement may apply during initial deployment.</w:t>
            </w:r>
          </w:p>
        </w:tc>
      </w:tr>
    </w:tbl>
    <w:p>
      <w:pPr>
        <w:spacing w:after="8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3.2  The Webhook Override — Critical Behavior</w:t>
      </w:r>
    </w:p>
    <w:p>
      <w:pPr>
        <w:spacing w:after="140"/>
      </w:pPr>
      <w:r>
        <w:rPr>
          <w:rFonts w:ascii="Arial" w:cs="Arial" w:eastAsia="Arial" w:hAnsi="Arial"/>
          <w:color w:val="000000"/>
          <w:sz w:val="22"/>
          <w:szCs w:val="22"/>
        </w:rPr>
        <w:t xml:space="preserve">This is the most important behavioral rule to understand for environment annotations. It directly prevents misconfiguration from producing a security gap.</w:t>
      </w:r>
    </w:p>
    <w:p>
      <w:pPr>
        <w:spacing w:after="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20"/>
              <w:left w:type="dxa" w:w="200"/>
              <w:bottom w:type="dxa" w:w="120"/>
              <w:right w:type="dxa" w:w="200"/>
            </w:tcMar>
          </w:tcPr>
          <w:p>
            <w:pPr>
              <w:spacing w:after="60"/>
            </w:pPr>
            <w:r>
              <w:rPr>
                <w:rFonts w:ascii="Arial" w:cs="Arial" w:eastAsia="Arial" w:hAnsi="Arial"/>
                <w:b/>
                <w:bCs/>
                <w:color w:val="000000"/>
                <w:sz w:val="20"/>
                <w:szCs w:val="20"/>
              </w:rPr>
              <w:t xml:space="preserve">Webhook Rule</w:t>
            </w:r>
          </w:p>
          <w:p>
            <w:pPr>
              <w:spacing w:after="40"/>
            </w:pPr>
            <w:r>
              <w:rPr>
                <w:rFonts w:ascii="Arial" w:cs="Arial" w:eastAsia="Arial" w:hAnsi="Arial"/>
                <w:color w:val="000000"/>
                <w:sz w:val="20"/>
                <w:szCs w:val="20"/>
              </w:rPr>
              <w:t xml:space="preserve">If a developer sets the environment annotation to 'pd' (production) in their deployment spec, but deploys that workload to a non-production cluster or namespace, the Huntington admission webhook will automatically override the annotation and replace it with the correct environment value for the target namespace. The developer-specified annotation is discarded and replaced with the environment of the namespace the workload actually lands in.</w:t>
            </w:r>
          </w:p>
        </w:tc>
      </w:tr>
    </w:tbl>
    <w:p>
      <w:pPr>
        <w:spacing w:after="8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3.3  Why This Rule Exists</w:t>
      </w:r>
    </w:p>
    <w:p>
      <w:pPr>
        <w:spacing w:after="140"/>
      </w:pPr>
      <w:r>
        <w:rPr>
          <w:rFonts w:ascii="Arial" w:cs="Arial" w:eastAsia="Arial" w:hAnsi="Arial"/>
          <w:color w:val="000000"/>
          <w:sz w:val="22"/>
          <w:szCs w:val="22"/>
        </w:rPr>
        <w:t xml:space="preserve">Without this override, a workload deployed to a dev namespace with an annotation of 'pd' would attempt to match production policy rules — rules it has no business matching. Worse, it could inherit production-tier trust in network flows, creating a lateral movement risk from non-production into production segments. The webhook closes this gap by making the environment annotation authoritative based on where the workload actually lands, not what the developer declared.</w:t>
      </w:r>
    </w:p>
    <w:p>
      <w:pPr>
        <w:spacing w:after="8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3.4  How the Override Works — Step by Step</w:t>
      </w:r>
    </w:p>
    <w:p>
      <w:pPr>
        <w:spacing w:after="80"/>
      </w:pPr>
      <w:r>
        <w:rPr>
          <w:rFonts w:ascii="Arial" w:cs="Arial" w:eastAsia="Arial" w:hAnsi="Arial"/>
          <w:color w:val="000000"/>
          <w:sz w:val="22"/>
          <w:szCs w:val="22"/>
        </w:rPr>
        <w:t xml:space="preserve"/>
      </w:r>
    </w:p>
    <w:p>
      <w:pPr>
        <w:pStyle w:val="ListParagraph"/>
        <w:numPr>
          <w:ilvl w:val="0"/>
          <w:numId w:val="2"/>
        </w:numPr>
        <w:spacing w:after="100"/>
      </w:pPr>
      <w:r>
        <w:rPr>
          <w:rFonts w:ascii="Arial" w:cs="Arial" w:eastAsia="Arial" w:hAnsi="Arial"/>
          <w:color w:val="000000"/>
          <w:sz w:val="22"/>
          <w:szCs w:val="22"/>
        </w:rPr>
        <w:t xml:space="preserve">Developer writes deployment manifest with illumio-env: pd</w:t>
      </w:r>
    </w:p>
    <w:p>
      <w:pPr>
        <w:pStyle w:val="ListParagraph"/>
        <w:numPr>
          <w:ilvl w:val="0"/>
          <w:numId w:val="2"/>
        </w:numPr>
        <w:spacing w:after="100"/>
      </w:pPr>
      <w:r>
        <w:rPr>
          <w:rFonts w:ascii="Arial" w:cs="Arial" w:eastAsia="Arial" w:hAnsi="Arial"/>
          <w:color w:val="000000"/>
          <w:sz w:val="22"/>
          <w:szCs w:val="22"/>
        </w:rPr>
        <w:t xml:space="preserve">Developer deploys to namespace payments-nonprod</w:t>
      </w:r>
    </w:p>
    <w:p>
      <w:pPr>
        <w:pStyle w:val="ListParagraph"/>
        <w:numPr>
          <w:ilvl w:val="0"/>
          <w:numId w:val="2"/>
        </w:numPr>
        <w:spacing w:after="100"/>
      </w:pPr>
      <w:r>
        <w:rPr>
          <w:rFonts w:ascii="Arial" w:cs="Arial" w:eastAsia="Arial" w:hAnsi="Arial"/>
          <w:color w:val="000000"/>
          <w:sz w:val="22"/>
          <w:szCs w:val="22"/>
        </w:rPr>
        <w:t xml:space="preserve">Kubernetes admission webhook intercepts the deployment request before pod creation</w:t>
      </w:r>
    </w:p>
    <w:p>
      <w:pPr>
        <w:pStyle w:val="ListParagraph"/>
        <w:numPr>
          <w:ilvl w:val="0"/>
          <w:numId w:val="2"/>
        </w:numPr>
        <w:spacing w:after="100"/>
      </w:pPr>
      <w:r>
        <w:rPr>
          <w:rFonts w:ascii="Arial" w:cs="Arial" w:eastAsia="Arial" w:hAnsi="Arial"/>
          <w:color w:val="000000"/>
          <w:sz w:val="22"/>
          <w:szCs w:val="22"/>
        </w:rPr>
        <w:t xml:space="preserve">Webhook reads the namespace label: illumio-env=nonprod</w:t>
      </w:r>
    </w:p>
    <w:p>
      <w:pPr>
        <w:pStyle w:val="ListParagraph"/>
        <w:numPr>
          <w:ilvl w:val="0"/>
          <w:numId w:val="2"/>
        </w:numPr>
        <w:spacing w:after="100"/>
      </w:pPr>
      <w:r>
        <w:rPr>
          <w:rFonts w:ascii="Arial" w:cs="Arial" w:eastAsia="Arial" w:hAnsi="Arial"/>
          <w:color w:val="000000"/>
          <w:sz w:val="22"/>
          <w:szCs w:val="22"/>
        </w:rPr>
        <w:t xml:space="preserve">Webhook detects mismatch: pod annotation says pd, namespace says nonprod</w:t>
      </w:r>
    </w:p>
    <w:p>
      <w:pPr>
        <w:pStyle w:val="ListParagraph"/>
        <w:numPr>
          <w:ilvl w:val="0"/>
          <w:numId w:val="2"/>
        </w:numPr>
        <w:spacing w:after="100"/>
      </w:pPr>
      <w:r>
        <w:rPr>
          <w:rFonts w:ascii="Arial" w:cs="Arial" w:eastAsia="Arial" w:hAnsi="Arial"/>
          <w:color w:val="000000"/>
          <w:sz w:val="22"/>
          <w:szCs w:val="22"/>
        </w:rPr>
        <w:t xml:space="preserve">Webhook mutates the pod spec — replaces illumio-env: pd with illumio-env: nonprod</w:t>
      </w:r>
    </w:p>
    <w:p>
      <w:pPr>
        <w:pStyle w:val="ListParagraph"/>
        <w:numPr>
          <w:ilvl w:val="0"/>
          <w:numId w:val="2"/>
        </w:numPr>
        <w:spacing w:after="100"/>
      </w:pPr>
      <w:r>
        <w:rPr>
          <w:rFonts w:ascii="Arial" w:cs="Arial" w:eastAsia="Arial" w:hAnsi="Arial"/>
          <w:color w:val="000000"/>
          <w:sz w:val="22"/>
          <w:szCs w:val="22"/>
        </w:rPr>
        <w:t xml:space="preserve">Pod is created with the corrected annotation</w:t>
      </w:r>
    </w:p>
    <w:p>
      <w:pPr>
        <w:pStyle w:val="ListParagraph"/>
        <w:numPr>
          <w:ilvl w:val="0"/>
          <w:numId w:val="2"/>
        </w:numPr>
        <w:spacing w:after="100"/>
      </w:pPr>
      <w:r>
        <w:rPr>
          <w:rFonts w:ascii="Arial" w:cs="Arial" w:eastAsia="Arial" w:hAnsi="Arial"/>
          <w:color w:val="000000"/>
          <w:sz w:val="22"/>
          <w:szCs w:val="22"/>
        </w:rPr>
        <w:t xml:space="preserve">Kubelink syncs the corrected label to PCE — workload registers as Env=nonprod</w:t>
      </w:r>
    </w:p>
    <w:p>
      <w:pPr>
        <w:pStyle w:val="ListParagraph"/>
        <w:numPr>
          <w:ilvl w:val="0"/>
          <w:numId w:val="2"/>
        </w:numPr>
        <w:spacing w:after="100"/>
      </w:pPr>
      <w:r>
        <w:rPr>
          <w:rFonts w:ascii="Arial" w:cs="Arial" w:eastAsia="Arial" w:hAnsi="Arial"/>
          <w:color w:val="000000"/>
          <w:sz w:val="22"/>
          <w:szCs w:val="22"/>
        </w:rPr>
        <w:t xml:space="preserve">Non-production policy rules apply — production rules are never evaluated</w:t>
      </w:r>
    </w:p>
    <w:p>
      <w:pPr>
        <w:spacing w:after="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20"/>
              <w:left w:type="dxa" w:w="200"/>
              <w:bottom w:type="dxa" w:w="120"/>
              <w:right w:type="dxa" w:w="200"/>
            </w:tcMar>
          </w:tcPr>
          <w:p>
            <w:pPr>
              <w:spacing w:after="60"/>
            </w:pPr>
            <w:r>
              <w:rPr>
                <w:rFonts w:ascii="Arial" w:cs="Arial" w:eastAsia="Arial" w:hAnsi="Arial"/>
                <w:b/>
                <w:bCs/>
                <w:color w:val="000000"/>
                <w:sz w:val="20"/>
                <w:szCs w:val="20"/>
              </w:rPr>
              <w:t xml:space="preserve">What You Will See</w:t>
            </w:r>
          </w:p>
          <w:p>
            <w:pPr>
              <w:spacing w:after="40"/>
            </w:pPr>
            <w:r>
              <w:rPr>
                <w:rFonts w:ascii="Arial" w:cs="Arial" w:eastAsia="Arial" w:hAnsi="Arial"/>
                <w:color w:val="000000"/>
                <w:sz w:val="20"/>
                <w:szCs w:val="20"/>
              </w:rPr>
              <w:t xml:space="preserve">If your pod's environment annotation was overridden by the webhook, you will see a Kubernetes event on the pod indicating the mutation. You can also verify the actual label on the running pod with: kubectl get pod &lt;pod-name&gt; --show-labels. The illumio-env value on the running pod is always the authoritative value — not what is in your source manifest.</w:t>
            </w:r>
          </w:p>
        </w:tc>
      </w:tr>
    </w:tbl>
    <w:p>
      <w:pPr>
        <w:spacing w:after="8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3.5  Developer Responsibilities</w:t>
      </w:r>
    </w:p>
    <w:p>
      <w:pPr>
        <w:spacing w:after="140"/>
      </w:pPr>
      <w:r>
        <w:rPr>
          <w:rFonts w:ascii="Arial" w:cs="Arial" w:eastAsia="Arial" w:hAnsi="Arial"/>
          <w:color w:val="000000"/>
          <w:sz w:val="22"/>
          <w:szCs w:val="22"/>
        </w:rPr>
        <w:t xml:space="preserve">The webhook is a safety net, not a substitute for correct annotation practice. Application teams are responsible for:</w:t>
      </w:r>
    </w:p>
    <w:p>
      <w:pPr>
        <w:pStyle w:val="ListParagraph"/>
        <w:numPr>
          <w:ilvl w:val="0"/>
          <w:numId w:val="3"/>
        </w:numPr>
        <w:spacing w:after="80"/>
      </w:pPr>
      <w:r>
        <w:rPr>
          <w:rFonts w:ascii="Arial" w:cs="Arial" w:eastAsia="Arial" w:hAnsi="Arial"/>
          <w:b w:val="false"/>
          <w:bCs w:val="false"/>
          <w:color w:val="000000"/>
          <w:sz w:val="22"/>
          <w:szCs w:val="22"/>
        </w:rPr>
        <w:t xml:space="preserve">Setting the correct environment annotation in your deployment manifests before deployment</w:t>
      </w:r>
    </w:p>
    <w:p>
      <w:pPr>
        <w:pStyle w:val="ListParagraph"/>
        <w:numPr>
          <w:ilvl w:val="0"/>
          <w:numId w:val="3"/>
        </w:numPr>
        <w:spacing w:after="80"/>
      </w:pPr>
      <w:r>
        <w:rPr>
          <w:rFonts w:ascii="Arial" w:cs="Arial" w:eastAsia="Arial" w:hAnsi="Arial"/>
          <w:b w:val="false"/>
          <w:bCs w:val="false"/>
          <w:color w:val="000000"/>
          <w:sz w:val="22"/>
          <w:szCs w:val="22"/>
        </w:rPr>
        <w:t xml:space="preserve">Not intentionally setting pd annotations on non-production workloads to bypass policy</w:t>
      </w:r>
    </w:p>
    <w:p>
      <w:pPr>
        <w:pStyle w:val="ListParagraph"/>
        <w:numPr>
          <w:ilvl w:val="0"/>
          <w:numId w:val="3"/>
        </w:numPr>
        <w:spacing w:after="80"/>
      </w:pPr>
      <w:r>
        <w:rPr>
          <w:rFonts w:ascii="Arial" w:cs="Arial" w:eastAsia="Arial" w:hAnsi="Arial"/>
          <w:b w:val="false"/>
          <w:bCs w:val="false"/>
          <w:color w:val="000000"/>
          <w:sz w:val="22"/>
          <w:szCs w:val="22"/>
        </w:rPr>
        <w:t xml:space="preserve">Validating the live pod annotation matches your intent after deployment (see Section 4)</w:t>
      </w:r>
    </w:p>
    <w:p>
      <w:pPr>
        <w:pStyle w:val="ListParagraph"/>
        <w:numPr>
          <w:ilvl w:val="0"/>
          <w:numId w:val="3"/>
        </w:numPr>
        <w:spacing w:after="80"/>
      </w:pPr>
      <w:r>
        <w:rPr>
          <w:rFonts w:ascii="Arial" w:cs="Arial" w:eastAsia="Arial" w:hAnsi="Arial"/>
          <w:b w:val="false"/>
          <w:bCs w:val="false"/>
          <w:color w:val="000000"/>
          <w:sz w:val="22"/>
          <w:szCs w:val="22"/>
        </w:rPr>
        <w:t xml:space="preserve">Updating annotations in your source manifests when workloads are promoted between environments — do not rely on the webhook to handle environment promotion</w:t>
      </w:r>
    </w:p>
    <w:p>
      <w:pPr>
        <w:spacing w:after="8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3.6  Environment to Cluster and Namespace Mapping</w:t>
      </w:r>
    </w:p>
    <w:p>
      <w:pPr>
        <w:spacing w:after="140"/>
      </w:pPr>
      <w:r>
        <w:rPr>
          <w:rFonts w:ascii="Arial" w:cs="Arial" w:eastAsia="Arial" w:hAnsi="Arial"/>
          <w:color w:val="000000"/>
          <w:sz w:val="22"/>
          <w:szCs w:val="22"/>
        </w:rPr>
        <w:t xml:space="preserve">The following table defines which annotation value is valid for each cluster and namespace pattern. Your namespace must be labeled consistently with this mapping for the webhook to correctly enforce the override rule.</w:t>
      </w:r>
    </w:p>
    <w:p>
      <w:pPr>
        <w:spacing w:after="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Annotation Value</w:t>
            </w:r>
          </w:p>
        </w:tc>
        <w:tc>
          <w:tcPr>
            <w:tcW w:type="dxa" w:w="38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Allowed Cluster Type</w:t>
            </w:r>
          </w:p>
        </w:tc>
        <w:tc>
          <w:tcPr>
            <w:tcW w:type="dxa" w:w="37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Namespace Requirement</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pd</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Production clusters only</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Namespaces with illumio-env=pd label</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nonprod</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Non-production clusters</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Namespaces with illumio-env=nonprod label</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uat</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Non-production clusters</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Namespaces with illumio-env=uat label</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dev</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Non-production clusters</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Namespaces with illumio-env=dev label</w:t>
            </w:r>
          </w:p>
        </w:tc>
      </w:tr>
    </w:tbl>
    <w:p>
      <w:pPr>
        <w:spacing w:after="80"/>
      </w:pPr>
      <w:r>
        <w:rPr>
          <w:rFonts w:ascii="Arial" w:cs="Arial" w:eastAsia="Arial" w:hAnsi="Arial"/>
          <w:color w:val="000000"/>
          <w:sz w:val="22"/>
          <w:szCs w:val="22"/>
        </w:rPr>
        <w:t xml:space="preserve"/>
      </w:r>
    </w:p>
    <w:p>
      <w:r>
        <w:br w:type="page"/>
      </w:r>
    </w:p>
    <w:p>
      <w:pPr>
        <w:pStyle w:val="Heading1"/>
        <w:pBdr>
          <w:bottom w:val="single" w:color="000000" w:sz="6" w:space="4"/>
        </w:pBdr>
        <w:spacing w:after="160" w:before="360"/>
      </w:pPr>
      <w:r>
        <w:rPr>
          <w:rFonts w:ascii="Arial" w:cs="Arial" w:eastAsia="Arial" w:hAnsi="Arial"/>
          <w:b/>
          <w:bCs/>
          <w:color w:val="000000"/>
          <w:sz w:val="32"/>
          <w:szCs w:val="32"/>
        </w:rPr>
        <w:t xml:space="preserve">4.  Validation and Compliance</w:t>
      </w:r>
    </w:p>
    <w:p>
      <w:pPr>
        <w:spacing w:after="8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4.1  Post-Deployment Validation Steps</w:t>
      </w:r>
    </w:p>
    <w:p>
      <w:pPr>
        <w:spacing w:after="140"/>
      </w:pPr>
      <w:r>
        <w:rPr>
          <w:rFonts w:ascii="Arial" w:cs="Arial" w:eastAsia="Arial" w:hAnsi="Arial"/>
          <w:color w:val="000000"/>
          <w:sz w:val="22"/>
          <w:szCs w:val="22"/>
        </w:rPr>
        <w:t xml:space="preserve">After deploying your workload, complete the following validation steps before declaring the onboarding complete. These steps confirm that the PCE has correctly received and labeled your workload, that policy is being applied, and that no unexpected unknown flows exist.</w:t>
      </w:r>
    </w:p>
    <w:p>
      <w:pPr>
        <w:spacing w:after="80"/>
      </w:pPr>
      <w:r>
        <w:rPr>
          <w:rFonts w:ascii="Arial" w:cs="Arial" w:eastAsia="Arial" w:hAnsi="Arial"/>
          <w:color w:val="000000"/>
          <w:sz w:val="22"/>
          <w:szCs w:val="22"/>
        </w:rPr>
        <w:t xml:space="preserve"/>
      </w:r>
    </w:p>
    <w:p>
      <w:pPr>
        <w:pStyle w:val="Heading3"/>
        <w:spacing w:after="80" w:before="200"/>
      </w:pPr>
      <w:r>
        <w:rPr>
          <w:rFonts w:ascii="Arial" w:cs="Arial" w:eastAsia="Arial" w:hAnsi="Arial"/>
          <w:b/>
          <w:bCs/>
          <w:color w:val="404040"/>
          <w:sz w:val="23"/>
          <w:szCs w:val="23"/>
        </w:rPr>
        <w:t xml:space="preserve">Step 1 — Verify pod labels on the running 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40"/>
              <w:left w:type="dxa" w:w="200"/>
              <w:bottom w:type="dxa" w:w="140"/>
              <w:right w:type="dxa" w:w="200"/>
            </w:tcMar>
          </w:tcPr>
          <w:p>
            <w:pPr>
              <w:spacing w:after="40"/>
            </w:pPr>
            <w:r>
              <w:rPr>
                <w:rFonts w:ascii="Courier New" w:cs="Courier New" w:eastAsia="Courier New" w:hAnsi="Courier New"/>
                <w:color w:val="000000"/>
                <w:sz w:val="19"/>
                <w:szCs w:val="19"/>
              </w:rPr>
              <w:t xml:space="preserve"># Confirm all four Illumio labels are present and correct</w:t>
            </w:r>
          </w:p>
          <w:p>
            <w:pPr>
              <w:spacing w:after="40"/>
            </w:pPr>
            <w:r>
              <w:rPr>
                <w:rFonts w:ascii="Courier New" w:cs="Courier New" w:eastAsia="Courier New" w:hAnsi="Courier New"/>
                <w:color w:val="000000"/>
                <w:sz w:val="19"/>
                <w:szCs w:val="19"/>
              </w:rPr>
              <w:t xml:space="preserve">kubectl get pod &lt;your-pod-name&gt; -n &lt;your-namespace&gt; --show-labels</w:t>
            </w:r>
          </w:p>
          <w:p>
            <w:pPr>
              <w:spacing w:after="40"/>
            </w:pPr>
            <w:r>
              <w:rPr>
                <w:rFonts w:ascii="Courier New" w:cs="Courier New" w:eastAsia="Courier New" w:hAnsi="Courier New"/>
                <w:color w:val="000000"/>
                <w:sz w:val="19"/>
                <w:szCs w:val="19"/>
              </w:rPr>
              <w:t xml:space="preserve"/>
            </w:r>
          </w:p>
          <w:p>
            <w:pPr>
              <w:spacing w:after="40"/>
            </w:pPr>
            <w:r>
              <w:rPr>
                <w:rFonts w:ascii="Courier New" w:cs="Courier New" w:eastAsia="Courier New" w:hAnsi="Courier New"/>
                <w:color w:val="000000"/>
                <w:sz w:val="19"/>
                <w:szCs w:val="19"/>
              </w:rPr>
              <w:t xml:space="preserve"># Expected output includes:</w:t>
            </w:r>
          </w:p>
          <w:p>
            <w:pPr>
              <w:spacing w:after="40"/>
            </w:pPr>
            <w:r>
              <w:rPr>
                <w:rFonts w:ascii="Courier New" w:cs="Courier New" w:eastAsia="Courier New" w:hAnsi="Courier New"/>
                <w:color w:val="000000"/>
                <w:sz w:val="19"/>
                <w:szCs w:val="19"/>
              </w:rPr>
              <w:t xml:space="preserve"># illumio-app=A-APP-&lt;id&gt;</w:t>
            </w:r>
          </w:p>
          <w:p>
            <w:pPr>
              <w:spacing w:after="40"/>
            </w:pPr>
            <w:r>
              <w:rPr>
                <w:rFonts w:ascii="Courier New" w:cs="Courier New" w:eastAsia="Courier New" w:hAnsi="Courier New"/>
                <w:color w:val="000000"/>
                <w:sz w:val="19"/>
                <w:szCs w:val="19"/>
              </w:rPr>
              <w:t xml:space="preserve"># illumio-env=&lt;correct-environment&gt;</w:t>
            </w:r>
          </w:p>
          <w:p>
            <w:pPr>
              <w:spacing w:after="40"/>
            </w:pPr>
            <w:r>
              <w:rPr>
                <w:rFonts w:ascii="Courier New" w:cs="Courier New" w:eastAsia="Courier New" w:hAnsi="Courier New"/>
                <w:color w:val="000000"/>
                <w:sz w:val="19"/>
                <w:szCs w:val="19"/>
              </w:rPr>
              <w:t xml:space="preserve"># illumio-role=&lt;role&gt;</w:t>
            </w:r>
          </w:p>
          <w:p>
            <w:pPr>
              <w:spacing w:after="40"/>
            </w:pPr>
            <w:r>
              <w:rPr>
                <w:rFonts w:ascii="Courier New" w:cs="Courier New" w:eastAsia="Courier New" w:hAnsi="Courier New"/>
                <w:color w:val="000000"/>
                <w:sz w:val="19"/>
                <w:szCs w:val="19"/>
              </w:rPr>
              <w:t xml:space="preserve"># illumio-loc=&lt;location&gt;</w:t>
            </w:r>
          </w:p>
          <w:p>
            <w:pPr>
              <w:spacing w:after="40"/>
            </w:pPr>
            <w:r>
              <w:rPr>
                <w:rFonts w:ascii="Courier New" w:cs="Courier New" w:eastAsia="Courier New" w:hAnsi="Courier New"/>
                <w:color w:val="000000"/>
                <w:sz w:val="19"/>
                <w:szCs w:val="19"/>
              </w:rPr>
              <w:t xml:space="preserve"/>
            </w:r>
          </w:p>
          <w:p>
            <w:pPr>
              <w:spacing w:after="40"/>
            </w:pPr>
            <w:r>
              <w:rPr>
                <w:rFonts w:ascii="Courier New" w:cs="Courier New" w:eastAsia="Courier New" w:hAnsi="Courier New"/>
                <w:color w:val="000000"/>
                <w:sz w:val="19"/>
                <w:szCs w:val="19"/>
              </w:rPr>
              <w:t xml:space="preserve"># Also verify namespace labels are correct</w:t>
            </w:r>
          </w:p>
          <w:p>
            <w:pPr>
              <w:spacing w:after="0"/>
            </w:pPr>
            <w:r>
              <w:rPr>
                <w:rFonts w:ascii="Courier New" w:cs="Courier New" w:eastAsia="Courier New" w:hAnsi="Courier New"/>
                <w:color w:val="000000"/>
                <w:sz w:val="19"/>
                <w:szCs w:val="19"/>
              </w:rPr>
              <w:t xml:space="preserve">kubectl get namespace &lt;your-namespace&gt; --show-labels</w:t>
            </w:r>
          </w:p>
        </w:tc>
      </w:tr>
    </w:tbl>
    <w:p>
      <w:pPr>
        <w:spacing w:after="80"/>
      </w:pPr>
      <w:r>
        <w:rPr>
          <w:rFonts w:ascii="Arial" w:cs="Arial" w:eastAsia="Arial" w:hAnsi="Arial"/>
          <w:color w:val="000000"/>
          <w:sz w:val="22"/>
          <w:szCs w:val="22"/>
        </w:rPr>
        <w:t xml:space="preserve"/>
      </w:r>
    </w:p>
    <w:p>
      <w:pPr>
        <w:pStyle w:val="Heading3"/>
        <w:spacing w:after="80" w:before="200"/>
      </w:pPr>
      <w:r>
        <w:rPr>
          <w:rFonts w:ascii="Arial" w:cs="Arial" w:eastAsia="Arial" w:hAnsi="Arial"/>
          <w:b/>
          <w:bCs/>
          <w:color w:val="404040"/>
          <w:sz w:val="23"/>
          <w:szCs w:val="23"/>
        </w:rPr>
        <w:t xml:space="preserve">Step 2 — Confirm workload appears in PCE with correct labels</w:t>
      </w:r>
    </w:p>
    <w:p>
      <w:pPr>
        <w:spacing w:after="140"/>
      </w:pPr>
      <w:r>
        <w:rPr>
          <w:rFonts w:ascii="Arial" w:cs="Arial" w:eastAsia="Arial" w:hAnsi="Arial"/>
          <w:color w:val="000000"/>
          <w:sz w:val="22"/>
          <w:szCs w:val="22"/>
        </w:rPr>
        <w:t xml:space="preserve">Log into the PCE console and navigate to Workloads &gt; Container Workloads. Search for your workload by namespace or pod name. The workload record should show:</w:t>
      </w:r>
    </w:p>
    <w:p>
      <w:pPr>
        <w:pStyle w:val="ListParagraph"/>
        <w:numPr>
          <w:ilvl w:val="0"/>
          <w:numId w:val="3"/>
        </w:numPr>
        <w:spacing w:after="80"/>
      </w:pPr>
      <w:r>
        <w:rPr>
          <w:rFonts w:ascii="Arial" w:cs="Arial" w:eastAsia="Arial" w:hAnsi="Arial"/>
          <w:b w:val="false"/>
          <w:bCs w:val="false"/>
          <w:color w:val="000000"/>
          <w:sz w:val="22"/>
          <w:szCs w:val="22"/>
        </w:rPr>
        <w:t xml:space="preserve">App label: A-APP-&lt;your-id&gt;  —  not blank, not IP-only</w:t>
      </w:r>
    </w:p>
    <w:p>
      <w:pPr>
        <w:pStyle w:val="ListParagraph"/>
        <w:numPr>
          <w:ilvl w:val="0"/>
          <w:numId w:val="3"/>
        </w:numPr>
        <w:spacing w:after="80"/>
      </w:pPr>
      <w:r>
        <w:rPr>
          <w:rFonts w:ascii="Arial" w:cs="Arial" w:eastAsia="Arial" w:hAnsi="Arial"/>
          <w:b w:val="false"/>
          <w:bCs w:val="false"/>
          <w:color w:val="000000"/>
          <w:sz w:val="22"/>
          <w:szCs w:val="22"/>
        </w:rPr>
        <w:t xml:space="preserve">Env label: correct environment (pd, nonprod, uat, or dev)</w:t>
      </w:r>
    </w:p>
    <w:p>
      <w:pPr>
        <w:pStyle w:val="ListParagraph"/>
        <w:numPr>
          <w:ilvl w:val="0"/>
          <w:numId w:val="3"/>
        </w:numPr>
        <w:spacing w:after="80"/>
      </w:pPr>
      <w:r>
        <w:rPr>
          <w:rFonts w:ascii="Arial" w:cs="Arial" w:eastAsia="Arial" w:hAnsi="Arial"/>
          <w:b w:val="false"/>
          <w:bCs w:val="false"/>
          <w:color w:val="000000"/>
          <w:sz w:val="22"/>
          <w:szCs w:val="22"/>
        </w:rPr>
        <w:t xml:space="preserve">Role label: your declared role</w:t>
      </w:r>
    </w:p>
    <w:p>
      <w:pPr>
        <w:pStyle w:val="ListParagraph"/>
        <w:numPr>
          <w:ilvl w:val="0"/>
          <w:numId w:val="3"/>
        </w:numPr>
        <w:spacing w:after="80"/>
      </w:pPr>
      <w:r>
        <w:rPr>
          <w:rFonts w:ascii="Arial" w:cs="Arial" w:eastAsia="Arial" w:hAnsi="Arial"/>
          <w:b w:val="false"/>
          <w:bCs w:val="false"/>
          <w:color w:val="000000"/>
          <w:sz w:val="22"/>
          <w:szCs w:val="22"/>
        </w:rPr>
        <w:t xml:space="preserve">Loc label: correct location</w:t>
      </w:r>
    </w:p>
    <w:p>
      <w:pPr>
        <w:pStyle w:val="ListParagraph"/>
        <w:numPr>
          <w:ilvl w:val="0"/>
          <w:numId w:val="3"/>
        </w:numPr>
        <w:spacing w:after="80"/>
      </w:pPr>
      <w:r>
        <w:rPr>
          <w:rFonts w:ascii="Arial" w:cs="Arial" w:eastAsia="Arial" w:hAnsi="Arial"/>
          <w:b w:val="false"/>
          <w:bCs w:val="false"/>
          <w:color w:val="000000"/>
          <w:sz w:val="22"/>
          <w:szCs w:val="22"/>
        </w:rPr>
        <w:t xml:space="preserve">Status: Online</w:t>
      </w:r>
    </w:p>
    <w:p>
      <w:pPr>
        <w:spacing w:after="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20"/>
              <w:left w:type="dxa" w:w="200"/>
              <w:bottom w:type="dxa" w:w="120"/>
              <w:right w:type="dxa" w:w="200"/>
            </w:tcMar>
          </w:tcPr>
          <w:p>
            <w:pPr>
              <w:spacing w:after="60"/>
            </w:pPr>
            <w:r>
              <w:rPr>
                <w:rFonts w:ascii="Arial" w:cs="Arial" w:eastAsia="Arial" w:hAnsi="Arial"/>
                <w:b/>
                <w:bCs/>
                <w:color w:val="000000"/>
                <w:sz w:val="20"/>
                <w:szCs w:val="20"/>
              </w:rPr>
              <w:t xml:space="preserve">If Workload Shows IP-Only</w:t>
            </w:r>
          </w:p>
          <w:p>
            <w:pPr>
              <w:spacing w:after="40"/>
            </w:pPr>
            <w:r>
              <w:rPr>
                <w:rFonts w:ascii="Arial" w:cs="Arial" w:eastAsia="Arial" w:hAnsi="Arial"/>
                <w:color w:val="000000"/>
                <w:sz w:val="20"/>
                <w:szCs w:val="20"/>
              </w:rPr>
              <w:t xml:space="preserve">If your workload appears in PCE with only an IP address and no labels, Kubelink has not synced your pod labels yet. Wait 60 seconds and refresh. If labels still do not appear after 2 minutes, verify your namespace labels exist and contact the Illuminati team. Do not proceed to Step 3 until labels are resolved.</w:t>
            </w:r>
          </w:p>
        </w:tc>
      </w:tr>
    </w:tbl>
    <w:p>
      <w:pPr>
        <w:spacing w:after="80"/>
      </w:pPr>
      <w:r>
        <w:rPr>
          <w:rFonts w:ascii="Arial" w:cs="Arial" w:eastAsia="Arial" w:hAnsi="Arial"/>
          <w:color w:val="000000"/>
          <w:sz w:val="22"/>
          <w:szCs w:val="22"/>
        </w:rPr>
        <w:t xml:space="preserve"/>
      </w:r>
    </w:p>
    <w:p>
      <w:pPr>
        <w:pStyle w:val="Heading3"/>
        <w:spacing w:after="80" w:before="200"/>
      </w:pPr>
      <w:r>
        <w:rPr>
          <w:rFonts w:ascii="Arial" w:cs="Arial" w:eastAsia="Arial" w:hAnsi="Arial"/>
          <w:b/>
          <w:bCs/>
          <w:color w:val="404040"/>
          <w:sz w:val="23"/>
          <w:szCs w:val="23"/>
        </w:rPr>
        <w:t xml:space="preserve">Step 3 — Review traffic flows in Explorer</w:t>
      </w:r>
    </w:p>
    <w:p>
      <w:pPr>
        <w:spacing w:after="140"/>
      </w:pPr>
      <w:r>
        <w:rPr>
          <w:rFonts w:ascii="Arial" w:cs="Arial" w:eastAsia="Arial" w:hAnsi="Arial"/>
          <w:color w:val="000000"/>
          <w:sz w:val="22"/>
          <w:szCs w:val="22"/>
        </w:rPr>
        <w:t xml:space="preserve">Navigate to PCE Explorer and set the following filters:</w:t>
      </w:r>
    </w:p>
    <w:p>
      <w:pPr>
        <w:pStyle w:val="ListParagraph"/>
        <w:numPr>
          <w:ilvl w:val="0"/>
          <w:numId w:val="3"/>
        </w:numPr>
        <w:spacing w:after="80"/>
      </w:pPr>
      <w:r>
        <w:rPr>
          <w:rFonts w:ascii="Arial" w:cs="Arial" w:eastAsia="Arial" w:hAnsi="Arial"/>
          <w:b w:val="false"/>
          <w:bCs w:val="false"/>
          <w:color w:val="000000"/>
          <w:sz w:val="22"/>
          <w:szCs w:val="22"/>
        </w:rPr>
        <w:t xml:space="preserve">Source or Destination: your workload (filter by App label or pod name)</w:t>
      </w:r>
    </w:p>
    <w:p>
      <w:pPr>
        <w:pStyle w:val="ListParagraph"/>
        <w:numPr>
          <w:ilvl w:val="0"/>
          <w:numId w:val="3"/>
        </w:numPr>
        <w:spacing w:after="80"/>
      </w:pPr>
      <w:r>
        <w:rPr>
          <w:rFonts w:ascii="Arial" w:cs="Arial" w:eastAsia="Arial" w:hAnsi="Arial"/>
          <w:b w:val="false"/>
          <w:bCs w:val="false"/>
          <w:color w:val="000000"/>
          <w:sz w:val="22"/>
          <w:szCs w:val="22"/>
        </w:rPr>
        <w:t xml:space="preserve">Time range: Last 15 minutes</w:t>
      </w:r>
    </w:p>
    <w:p>
      <w:pPr>
        <w:pStyle w:val="ListParagraph"/>
        <w:numPr>
          <w:ilvl w:val="0"/>
          <w:numId w:val="3"/>
        </w:numPr>
        <w:spacing w:after="80"/>
      </w:pPr>
      <w:r>
        <w:rPr>
          <w:rFonts w:ascii="Arial" w:cs="Arial" w:eastAsia="Arial" w:hAnsi="Arial"/>
          <w:b w:val="false"/>
          <w:bCs w:val="false"/>
          <w:color w:val="000000"/>
          <w:sz w:val="22"/>
          <w:szCs w:val="22"/>
        </w:rPr>
        <w:t xml:space="preserve">Click Run</w:t>
      </w:r>
    </w:p>
    <w:p>
      <w:pPr>
        <w:spacing w:after="80"/>
      </w:pPr>
      <w:r>
        <w:rPr>
          <w:rFonts w:ascii="Arial" w:cs="Arial" w:eastAsia="Arial" w:hAnsi="Arial"/>
          <w:color w:val="000000"/>
          <w:sz w:val="22"/>
          <w:szCs w:val="22"/>
        </w:rPr>
        <w:t xml:space="preserve"/>
      </w:r>
    </w:p>
    <w:p>
      <w:pPr>
        <w:spacing w:after="140"/>
      </w:pPr>
      <w:r>
        <w:rPr>
          <w:rFonts w:ascii="Arial" w:cs="Arial" w:eastAsia="Arial" w:hAnsi="Arial"/>
          <w:color w:val="000000"/>
          <w:sz w:val="22"/>
          <w:szCs w:val="22"/>
        </w:rPr>
        <w:t xml:space="preserve">Review the Policy Decision column for all flows:</w:t>
      </w:r>
    </w:p>
    <w:p>
      <w:pPr>
        <w:spacing w:after="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Policy Decision</w:t>
            </w:r>
          </w:p>
        </w:tc>
        <w:tc>
          <w:tcPr>
            <w:tcW w:type="dxa" w:w="65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Action Required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Allowed</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Expected for flows covered by existing policy rules. No action needed.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Potentially Blocked / Unknown (pd=3)</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Flow exists but no policy rule covers it. You must determine if this flow is legitimate and work with the Illuminati team to create the appropriate rule.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Blocked</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Flow was explicitly blocked by policy. If this is expected application traffic, a rule is missing. Engage the Illuminati team immediately.</w:t>
            </w:r>
          </w:p>
        </w:tc>
      </w:tr>
    </w:tbl>
    <w:p>
      <w:pPr>
        <w:spacing w:after="80"/>
      </w:pPr>
      <w:r>
        <w:rPr>
          <w:rFonts w:ascii="Arial" w:cs="Arial" w:eastAsia="Arial" w:hAnsi="Arial"/>
          <w:color w:val="000000"/>
          <w:sz w:val="22"/>
          <w:szCs w:val="22"/>
        </w:rPr>
        <w:t xml:space="preserve"/>
      </w:r>
    </w:p>
    <w:p>
      <w:pPr>
        <w:pStyle w:val="Heading3"/>
        <w:spacing w:after="80" w:before="200"/>
      </w:pPr>
      <w:r>
        <w:rPr>
          <w:rFonts w:ascii="Arial" w:cs="Arial" w:eastAsia="Arial" w:hAnsi="Arial"/>
          <w:b/>
          <w:bCs/>
          <w:color w:val="404040"/>
          <w:sz w:val="23"/>
          <w:szCs w:val="23"/>
        </w:rPr>
        <w:t xml:space="preserve">Step 4 — Verify webhook annotation override behavior</w:t>
      </w:r>
    </w:p>
    <w:p>
      <w:pPr>
        <w:spacing w:after="140"/>
      </w:pPr>
      <w:r>
        <w:rPr>
          <w:rFonts w:ascii="Arial" w:cs="Arial" w:eastAsia="Arial" w:hAnsi="Arial"/>
          <w:color w:val="000000"/>
          <w:sz w:val="22"/>
          <w:szCs w:val="22"/>
        </w:rPr>
        <w:t xml:space="preserve">If your workload was deployed to a non-production environment, confirm the webhook functioned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40"/>
              <w:left w:type="dxa" w:w="200"/>
              <w:bottom w:type="dxa" w:w="140"/>
              <w:right w:type="dxa" w:w="200"/>
            </w:tcMar>
          </w:tcPr>
          <w:p>
            <w:pPr>
              <w:spacing w:after="40"/>
            </w:pPr>
            <w:r>
              <w:rPr>
                <w:rFonts w:ascii="Courier New" w:cs="Courier New" w:eastAsia="Courier New" w:hAnsi="Courier New"/>
                <w:color w:val="000000"/>
                <w:sz w:val="19"/>
                <w:szCs w:val="19"/>
              </w:rPr>
              <w:t xml:space="preserve"># Check the actual annotation on the running pod</w:t>
            </w:r>
          </w:p>
          <w:p>
            <w:pPr>
              <w:spacing w:after="40"/>
            </w:pPr>
            <w:r>
              <w:rPr>
                <w:rFonts w:ascii="Courier New" w:cs="Courier New" w:eastAsia="Courier New" w:hAnsi="Courier New"/>
                <w:color w:val="000000"/>
                <w:sz w:val="19"/>
                <w:szCs w:val="19"/>
              </w:rPr>
              <w:t xml:space="preserve">kubectl get pod &lt;your-pod-name&gt; -n &lt;your-namespace&gt; -o jsonpath='{.metadata.labels.illumio-env}'</w:t>
            </w:r>
          </w:p>
          <w:p>
            <w:pPr>
              <w:spacing w:after="40"/>
            </w:pPr>
            <w:r>
              <w:rPr>
                <w:rFonts w:ascii="Courier New" w:cs="Courier New" w:eastAsia="Courier New" w:hAnsi="Courier New"/>
                <w:color w:val="000000"/>
                <w:sz w:val="19"/>
                <w:szCs w:val="19"/>
              </w:rPr>
              <w:t xml:space="preserve"/>
            </w:r>
          </w:p>
          <w:p>
            <w:pPr>
              <w:spacing w:after="40"/>
            </w:pPr>
            <w:r>
              <w:rPr>
                <w:rFonts w:ascii="Courier New" w:cs="Courier New" w:eastAsia="Courier New" w:hAnsi="Courier New"/>
                <w:color w:val="000000"/>
                <w:sz w:val="19"/>
                <w:szCs w:val="19"/>
              </w:rPr>
              <w:t xml:space="preserve"># Check for webhook mutation events on the pod</w:t>
            </w:r>
          </w:p>
          <w:p>
            <w:pPr>
              <w:spacing w:after="40"/>
            </w:pPr>
            <w:r>
              <w:rPr>
                <w:rFonts w:ascii="Courier New" w:cs="Courier New" w:eastAsia="Courier New" w:hAnsi="Courier New"/>
                <w:color w:val="000000"/>
                <w:sz w:val="19"/>
                <w:szCs w:val="19"/>
              </w:rPr>
              <w:t xml:space="preserve">kubectl describe pod &lt;your-pod-name&gt; -n &lt;your-namespace&gt; | grep -i webhook</w:t>
            </w:r>
          </w:p>
          <w:p>
            <w:pPr>
              <w:spacing w:after="0"/>
            </w:pPr>
            <w:r>
              <w:rPr>
                <w:rFonts w:ascii="Courier New" w:cs="Courier New" w:eastAsia="Courier New" w:hAnsi="Courier New"/>
                <w:color w:val="000000"/>
                <w:sz w:val="19"/>
                <w:szCs w:val="19"/>
              </w:rPr>
              <w:t xml:space="preserve">kubectl get events -n &lt;your-namespace&gt; | grep -i mutate</w:t>
            </w:r>
          </w:p>
        </w:tc>
      </w:tr>
    </w:tbl>
    <w:p>
      <w:pPr>
        <w:spacing w:after="80"/>
      </w:pPr>
      <w:r>
        <w:rPr>
          <w:rFonts w:ascii="Arial" w:cs="Arial" w:eastAsia="Arial" w:hAnsi="Arial"/>
          <w:color w:val="000000"/>
          <w:sz w:val="22"/>
          <w:szCs w:val="22"/>
        </w:rPr>
        <w:t xml:space="preserve"/>
      </w:r>
    </w:p>
    <w:p>
      <w:pPr>
        <w:pStyle w:val="Heading3"/>
        <w:spacing w:after="80" w:before="200"/>
      </w:pPr>
      <w:r>
        <w:rPr>
          <w:rFonts w:ascii="Arial" w:cs="Arial" w:eastAsia="Arial" w:hAnsi="Arial"/>
          <w:b/>
          <w:bCs/>
          <w:color w:val="404040"/>
          <w:sz w:val="23"/>
          <w:szCs w:val="23"/>
        </w:rPr>
        <w:t xml:space="preserve">Step 5 — Confirm enforcement mode</w:t>
      </w:r>
    </w:p>
    <w:p>
      <w:pPr>
        <w:spacing w:after="140"/>
      </w:pPr>
      <w:r>
        <w:rPr>
          <w:rFonts w:ascii="Arial" w:cs="Arial" w:eastAsia="Arial" w:hAnsi="Arial"/>
          <w:color w:val="000000"/>
          <w:sz w:val="22"/>
          <w:szCs w:val="22"/>
        </w:rPr>
        <w:t xml:space="preserve">In PCE, click on your workload record and verify the Enforcement Mode field. New workloads should begin in Visibility Only (Idle) mode. Your workload will not be moved to Selective or Full enforcement until:</w:t>
      </w:r>
    </w:p>
    <w:p>
      <w:pPr>
        <w:pStyle w:val="ListParagraph"/>
        <w:numPr>
          <w:ilvl w:val="0"/>
          <w:numId w:val="3"/>
        </w:numPr>
        <w:spacing w:after="80"/>
      </w:pPr>
      <w:r>
        <w:rPr>
          <w:rFonts w:ascii="Arial" w:cs="Arial" w:eastAsia="Arial" w:hAnsi="Arial"/>
          <w:b w:val="false"/>
          <w:bCs w:val="false"/>
          <w:color w:val="000000"/>
          <w:sz w:val="22"/>
          <w:szCs w:val="22"/>
        </w:rPr>
        <w:t xml:space="preserve">All expected traffic flows show as Allowed in Explorer</w:t>
      </w:r>
    </w:p>
    <w:p>
      <w:pPr>
        <w:pStyle w:val="ListParagraph"/>
        <w:numPr>
          <w:ilvl w:val="0"/>
          <w:numId w:val="3"/>
        </w:numPr>
        <w:spacing w:after="80"/>
      </w:pPr>
      <w:r>
        <w:rPr>
          <w:rFonts w:ascii="Arial" w:cs="Arial" w:eastAsia="Arial" w:hAnsi="Arial"/>
          <w:b w:val="false"/>
          <w:bCs w:val="false"/>
          <w:color w:val="000000"/>
          <w:sz w:val="22"/>
          <w:szCs w:val="22"/>
        </w:rPr>
        <w:t xml:space="preserve">Unknown flows have been investigated and resolved</w:t>
      </w:r>
    </w:p>
    <w:p>
      <w:pPr>
        <w:pStyle w:val="ListParagraph"/>
        <w:numPr>
          <w:ilvl w:val="0"/>
          <w:numId w:val="3"/>
        </w:numPr>
        <w:spacing w:after="80"/>
      </w:pPr>
      <w:r>
        <w:rPr>
          <w:rFonts w:ascii="Arial" w:cs="Arial" w:eastAsia="Arial" w:hAnsi="Arial"/>
          <w:b w:val="false"/>
          <w:bCs w:val="false"/>
          <w:color w:val="000000"/>
          <w:sz w:val="22"/>
          <w:szCs w:val="22"/>
        </w:rPr>
        <w:t xml:space="preserve">Illuminati team has reviewed and approved the ruleset</w:t>
      </w:r>
    </w:p>
    <w:p>
      <w:pPr>
        <w:pStyle w:val="ListParagraph"/>
        <w:numPr>
          <w:ilvl w:val="0"/>
          <w:numId w:val="3"/>
        </w:numPr>
        <w:spacing w:after="80"/>
      </w:pPr>
      <w:r>
        <w:rPr>
          <w:rFonts w:ascii="Arial" w:cs="Arial" w:eastAsia="Arial" w:hAnsi="Arial"/>
          <w:b w:val="false"/>
          <w:bCs w:val="false"/>
          <w:color w:val="000000"/>
          <w:sz w:val="22"/>
          <w:szCs w:val="22"/>
        </w:rPr>
        <w:t xml:space="preserve">A change ticket has been raised and approved for the enforcement mode change</w:t>
      </w:r>
    </w:p>
    <w:p>
      <w:pPr>
        <w:spacing w:after="80"/>
      </w:pPr>
      <w:r>
        <w:rPr>
          <w:rFonts w:ascii="Arial" w:cs="Arial" w:eastAsia="Arial" w:hAnsi="Arial"/>
          <w:color w:val="000000"/>
          <w:sz w:val="22"/>
          <w:szCs w:val="22"/>
        </w:rPr>
        <w:t xml:space="preserve"/>
      </w:r>
    </w:p>
    <w:p>
      <w:r>
        <w:br w:type="page"/>
      </w:r>
    </w:p>
    <w:p>
      <w:pPr>
        <w:pStyle w:val="Heading1"/>
        <w:pBdr>
          <w:bottom w:val="single" w:color="000000" w:sz="6" w:space="4"/>
        </w:pBdr>
        <w:spacing w:after="160" w:before="360"/>
      </w:pPr>
      <w:r>
        <w:rPr>
          <w:rFonts w:ascii="Arial" w:cs="Arial" w:eastAsia="Arial" w:hAnsi="Arial"/>
          <w:b/>
          <w:bCs/>
          <w:color w:val="000000"/>
          <w:sz w:val="32"/>
          <w:szCs w:val="32"/>
        </w:rPr>
        <w:t xml:space="preserve">5.  Onboarding Checklist</w:t>
      </w:r>
    </w:p>
    <w:p>
      <w:pPr>
        <w:spacing w:after="140"/>
      </w:pPr>
      <w:r>
        <w:rPr>
          <w:rFonts w:ascii="Arial" w:cs="Arial" w:eastAsia="Arial" w:hAnsi="Arial"/>
          <w:color w:val="000000"/>
          <w:sz w:val="22"/>
          <w:szCs w:val="22"/>
        </w:rPr>
        <w:t xml:space="preserve">Complete all items below before notifying the Illuminati team that onboarding is complete. The Owner column indicates which team is responsible for each item.</w:t>
      </w:r>
    </w:p>
    <w:p>
      <w:pPr>
        <w:spacing w:after="8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5.1  Pre-Deployment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200"/>
        <w:gridCol w:w="2600"/>
      </w:tblGrid>
      <w:tr>
        <w:tc>
          <w:tcPr>
            <w:tcW w:type="dxa" w:w="560"/>
            <w:tcBorders>
              <w:top w:val="single" w:color="AAAAAA" w:sz="1"/>
              <w:left w:val="single" w:color="AAAAAA" w:sz="1"/>
              <w:bottom w:val="single" w:color="AAAAAA" w:sz="1"/>
              <w:right w:val="single" w:color="AAAAAA" w:sz="1"/>
            </w:tcBorders>
            <w:shd w:fill="F0F0F0" w:val="clear"/>
            <w:tcMar>
              <w:top w:type="dxa" w:w="60"/>
              <w:left w:type="dxa" w:w="80"/>
              <w:bottom w:type="dxa" w:w="60"/>
              <w:right w:type="dxa" w:w="80"/>
            </w:tcMar>
          </w:tcPr>
          <w:p>
            <w:pPr>
              <w:jc w:val="center"/>
            </w:pPr>
            <w:r>
              <w:rPr>
                <w:rFonts w:ascii="Arial" w:cs="Arial" w:eastAsia="Arial" w:hAnsi="Arial"/>
                <w:b/>
                <w:bCs/>
                <w:color w:val="000000"/>
                <w:sz w:val="20"/>
                <w:szCs w:val="20"/>
              </w:rPr>
              <w:t xml:space="preserve"/>
            </w:r>
          </w:p>
        </w:tc>
        <w:tc>
          <w:tcPr>
            <w:tcW w:type="dxa" w:w="6200"/>
            <w:tcBorders>
              <w:top w:val="single" w:color="AAAAAA" w:sz="1"/>
              <w:left w:val="single" w:color="AAAAAA" w:sz="1"/>
              <w:bottom w:val="single" w:color="AAAAAA" w:sz="1"/>
              <w:right w:val="single" w:color="AAAAAA" w:sz="1"/>
            </w:tcBorders>
            <w:shd w:fill="F0F0F0" w:val="clear"/>
            <w:tcMar>
              <w:top w:type="dxa" w:w="60"/>
              <w:left w:type="dxa" w:w="120"/>
              <w:bottom w:type="dxa" w:w="60"/>
              <w:right w:type="dxa" w:w="120"/>
            </w:tcMar>
          </w:tcPr>
          <w:p>
            <w:r>
              <w:rPr>
                <w:rFonts w:ascii="Arial" w:cs="Arial" w:eastAsia="Arial" w:hAnsi="Arial"/>
                <w:b/>
                <w:bCs/>
                <w:color w:val="000000"/>
                <w:sz w:val="20"/>
                <w:szCs w:val="20"/>
              </w:rPr>
              <w:t xml:space="preserve">Item</w:t>
            </w:r>
          </w:p>
        </w:tc>
        <w:tc>
          <w:tcPr>
            <w:tcW w:type="dxa" w:w="2600"/>
            <w:tcBorders>
              <w:top w:val="single" w:color="AAAAAA" w:sz="1"/>
              <w:left w:val="single" w:color="AAAAAA" w:sz="1"/>
              <w:bottom w:val="single" w:color="AAAAAA" w:sz="1"/>
              <w:right w:val="single" w:color="AAAAAA" w:sz="1"/>
            </w:tcBorders>
            <w:shd w:fill="F0F0F0" w:val="clear"/>
            <w:tcMar>
              <w:top w:type="dxa" w:w="60"/>
              <w:left w:type="dxa" w:w="120"/>
              <w:bottom w:type="dxa" w:w="60"/>
              <w:right w:type="dxa" w:w="120"/>
            </w:tcMar>
          </w:tcPr>
          <w:p>
            <w:r>
              <w:rPr>
                <w:rFonts w:ascii="Arial" w:cs="Arial" w:eastAsia="Arial" w:hAnsi="Arial"/>
                <w:b/>
                <w:bCs/>
                <w:color w:val="000000"/>
                <w:sz w:val="20"/>
                <w:szCs w:val="20"/>
              </w:rPr>
              <w:t xml:space="preserve">Owner</w:t>
            </w:r>
          </w:p>
        </w:tc>
      </w:tr>
      <w:tr>
        <w:tc>
          <w:tcPr>
            <w:tcW w:type="dxa" w:w="560"/>
            <w:tcBorders>
              <w:top w:val="single" w:color="AAAAAA" w:sz="1"/>
              <w:left w:val="single" w:color="AAAAAA" w:sz="1"/>
              <w:bottom w:val="single" w:color="AAAAAA" w:sz="1"/>
              <w:right w:val="single" w:color="AAAAAA" w:sz="1"/>
            </w:tcBorders>
            <w:tcMar>
              <w:top w:type="dxa" w:w="80"/>
              <w:left w:type="dxa" w:w="80"/>
              <w:bottom w:type="dxa" w:w="80"/>
              <w:right w:type="dxa" w:w="80"/>
            </w:tcMar>
            <w:vAlign w:val="center"/>
          </w:tcPr>
          <w:p>
            <w:pPr>
              <w:jc w:val="center"/>
            </w:pPr>
            <w:r>
              <w:rPr>
                <w:rFonts w:ascii="Arial" w:cs="Arial" w:eastAsia="Arial" w:hAnsi="Arial"/>
                <w:color w:val="000000"/>
                <w:sz w:val="20"/>
                <w:szCs w:val="20"/>
              </w:rPr>
              <w:t xml:space="preserv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ADO work item created and linked to FND-17108</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Application Team</w:t>
            </w:r>
          </w:p>
        </w:tc>
      </w:tr>
      <w:tr>
        <w:tc>
          <w:tcPr>
            <w:tcW w:type="dxa" w:w="560"/>
            <w:tcBorders>
              <w:top w:val="single" w:color="AAAAAA" w:sz="1"/>
              <w:left w:val="single" w:color="AAAAAA" w:sz="1"/>
              <w:bottom w:val="single" w:color="AAAAAA" w:sz="1"/>
              <w:right w:val="single" w:color="AAAAAA" w:sz="1"/>
            </w:tcBorders>
            <w:tcMar>
              <w:top w:type="dxa" w:w="80"/>
              <w:left w:type="dxa" w:w="80"/>
              <w:bottom w:type="dxa" w:w="80"/>
              <w:right w:type="dxa" w:w="80"/>
            </w:tcMar>
            <w:vAlign w:val="center"/>
          </w:tcPr>
          <w:p>
            <w:pPr>
              <w:jc w:val="center"/>
            </w:pPr>
            <w:r>
              <w:rPr>
                <w:rFonts w:ascii="Arial" w:cs="Arial" w:eastAsia="Arial" w:hAnsi="Arial"/>
                <w:color w:val="000000"/>
                <w:sz w:val="20"/>
                <w:szCs w:val="20"/>
              </w:rPr>
              <w:t xml:space="preserv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Illumio label set confirmed with Illuminati team (App ID, Env, Role, Loc)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App Team + Illuminati</w:t>
            </w:r>
          </w:p>
        </w:tc>
      </w:tr>
      <w:tr>
        <w:tc>
          <w:tcPr>
            <w:tcW w:type="dxa" w:w="560"/>
            <w:tcBorders>
              <w:top w:val="single" w:color="AAAAAA" w:sz="1"/>
              <w:left w:val="single" w:color="AAAAAA" w:sz="1"/>
              <w:bottom w:val="single" w:color="AAAAAA" w:sz="1"/>
              <w:right w:val="single" w:color="AAAAAA" w:sz="1"/>
            </w:tcBorders>
            <w:tcMar>
              <w:top w:type="dxa" w:w="80"/>
              <w:left w:type="dxa" w:w="80"/>
              <w:bottom w:type="dxa" w:w="80"/>
              <w:right w:type="dxa" w:w="80"/>
            </w:tcMar>
            <w:vAlign w:val="center"/>
          </w:tcPr>
          <w:p>
            <w:pPr>
              <w:jc w:val="center"/>
            </w:pPr>
            <w:r>
              <w:rPr>
                <w:rFonts w:ascii="Arial" w:cs="Arial" w:eastAsia="Arial" w:hAnsi="Arial"/>
                <w:color w:val="000000"/>
                <w:sz w:val="20"/>
                <w:szCs w:val="20"/>
              </w:rPr>
              <w:t xml:space="preserv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Huntington container template obtained and reviewed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Application Team</w:t>
            </w:r>
          </w:p>
        </w:tc>
      </w:tr>
      <w:tr>
        <w:tc>
          <w:tcPr>
            <w:tcW w:type="dxa" w:w="560"/>
            <w:tcBorders>
              <w:top w:val="single" w:color="AAAAAA" w:sz="1"/>
              <w:left w:val="single" w:color="AAAAAA" w:sz="1"/>
              <w:bottom w:val="single" w:color="AAAAAA" w:sz="1"/>
              <w:right w:val="single" w:color="AAAAAA" w:sz="1"/>
            </w:tcBorders>
            <w:tcMar>
              <w:top w:type="dxa" w:w="80"/>
              <w:left w:type="dxa" w:w="80"/>
              <w:bottom w:type="dxa" w:w="80"/>
              <w:right w:type="dxa" w:w="80"/>
            </w:tcMar>
            <w:vAlign w:val="center"/>
          </w:tcPr>
          <w:p>
            <w:pPr>
              <w:jc w:val="center"/>
            </w:pPr>
            <w:r>
              <w:rPr>
                <w:rFonts w:ascii="Arial" w:cs="Arial" w:eastAsia="Arial" w:hAnsi="Arial"/>
                <w:color w:val="000000"/>
                <w:sz w:val="20"/>
                <w:szCs w:val="20"/>
              </w:rPr>
              <w:t xml:space="preserv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Confirmed no IBM-sourced template is in use</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Application Team</w:t>
            </w:r>
          </w:p>
        </w:tc>
      </w:tr>
      <w:tr>
        <w:tc>
          <w:tcPr>
            <w:tcW w:type="dxa" w:w="560"/>
            <w:tcBorders>
              <w:top w:val="single" w:color="AAAAAA" w:sz="1"/>
              <w:left w:val="single" w:color="AAAAAA" w:sz="1"/>
              <w:bottom w:val="single" w:color="AAAAAA" w:sz="1"/>
              <w:right w:val="single" w:color="AAAAAA" w:sz="1"/>
            </w:tcBorders>
            <w:tcMar>
              <w:top w:type="dxa" w:w="80"/>
              <w:left w:type="dxa" w:w="80"/>
              <w:bottom w:type="dxa" w:w="80"/>
              <w:right w:type="dxa" w:w="80"/>
            </w:tcMar>
            <w:vAlign w:val="center"/>
          </w:tcPr>
          <w:p>
            <w:pPr>
              <w:jc w:val="center"/>
            </w:pPr>
            <w:r>
              <w:rPr>
                <w:rFonts w:ascii="Arial" w:cs="Arial" w:eastAsia="Arial" w:hAnsi="Arial"/>
                <w:color w:val="000000"/>
                <w:sz w:val="20"/>
                <w:szCs w:val="20"/>
              </w:rPr>
              <w:t xml:space="preserv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Namespace created and labeled by platform team before workload deployment</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Platform Team</w:t>
            </w:r>
          </w:p>
        </w:tc>
      </w:tr>
      <w:tr>
        <w:tc>
          <w:tcPr>
            <w:tcW w:type="dxa" w:w="560"/>
            <w:tcBorders>
              <w:top w:val="single" w:color="AAAAAA" w:sz="1"/>
              <w:left w:val="single" w:color="AAAAAA" w:sz="1"/>
              <w:bottom w:val="single" w:color="AAAAAA" w:sz="1"/>
              <w:right w:val="single" w:color="AAAAAA" w:sz="1"/>
            </w:tcBorders>
            <w:tcMar>
              <w:top w:type="dxa" w:w="80"/>
              <w:left w:type="dxa" w:w="80"/>
              <w:bottom w:type="dxa" w:w="80"/>
              <w:right w:type="dxa" w:w="80"/>
            </w:tcMar>
            <w:vAlign w:val="center"/>
          </w:tcPr>
          <w:p>
            <w:pPr>
              <w:jc w:val="center"/>
            </w:pPr>
            <w:r>
              <w:rPr>
                <w:rFonts w:ascii="Arial" w:cs="Arial" w:eastAsia="Arial" w:hAnsi="Arial"/>
                <w:color w:val="000000"/>
                <w:sz w:val="20"/>
                <w:szCs w:val="20"/>
              </w:rPr>
              <w:t xml:space="preserv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Namespace labels validated: illumio-app, illumio-env, illumio-loc present</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Application Team</w:t>
            </w:r>
          </w:p>
        </w:tc>
      </w:tr>
      <w:tr>
        <w:tc>
          <w:tcPr>
            <w:tcW w:type="dxa" w:w="560"/>
            <w:tcBorders>
              <w:top w:val="single" w:color="AAAAAA" w:sz="1"/>
              <w:left w:val="single" w:color="AAAAAA" w:sz="1"/>
              <w:bottom w:val="single" w:color="AAAAAA" w:sz="1"/>
              <w:right w:val="single" w:color="AAAAAA" w:sz="1"/>
            </w:tcBorders>
            <w:tcMar>
              <w:top w:type="dxa" w:w="80"/>
              <w:left w:type="dxa" w:w="80"/>
              <w:bottom w:type="dxa" w:w="80"/>
              <w:right w:type="dxa" w:w="80"/>
            </w:tcMar>
            <w:vAlign w:val="center"/>
          </w:tcPr>
          <w:p>
            <w:pPr>
              <w:jc w:val="center"/>
            </w:pPr>
            <w:r>
              <w:rPr>
                <w:rFonts w:ascii="Arial" w:cs="Arial" w:eastAsia="Arial" w:hAnsi="Arial"/>
                <w:color w:val="000000"/>
                <w:sz w:val="20"/>
                <w:szCs w:val="20"/>
              </w:rPr>
              <w:t xml:space="preserv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Pod spec includes illumio-role label in deployment template</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Application Team</w:t>
            </w:r>
          </w:p>
        </w:tc>
      </w:tr>
      <w:tr>
        <w:tc>
          <w:tcPr>
            <w:tcW w:type="dxa" w:w="560"/>
            <w:tcBorders>
              <w:top w:val="single" w:color="AAAAAA" w:sz="1"/>
              <w:left w:val="single" w:color="AAAAAA" w:sz="1"/>
              <w:bottom w:val="single" w:color="AAAAAA" w:sz="1"/>
              <w:right w:val="single" w:color="AAAAAA" w:sz="1"/>
            </w:tcBorders>
            <w:tcMar>
              <w:top w:type="dxa" w:w="80"/>
              <w:left w:type="dxa" w:w="80"/>
              <w:bottom w:type="dxa" w:w="80"/>
              <w:right w:type="dxa" w:w="80"/>
            </w:tcMar>
            <w:vAlign w:val="center"/>
          </w:tcPr>
          <w:p>
            <w:pPr>
              <w:jc w:val="center"/>
            </w:pPr>
            <w:r>
              <w:rPr>
                <w:rFonts w:ascii="Arial" w:cs="Arial" w:eastAsia="Arial" w:hAnsi="Arial"/>
                <w:color w:val="000000"/>
                <w:sz w:val="20"/>
                <w:szCs w:val="20"/>
              </w:rPr>
              <w:t xml:space="preserv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App ID format confirmed as A-APP-&lt;numeric-id&gt;</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Application Team</w:t>
            </w:r>
          </w:p>
        </w:tc>
      </w:tr>
      <w:tr>
        <w:tc>
          <w:tcPr>
            <w:tcW w:type="dxa" w:w="560"/>
            <w:tcBorders>
              <w:top w:val="single" w:color="AAAAAA" w:sz="1"/>
              <w:left w:val="single" w:color="AAAAAA" w:sz="1"/>
              <w:bottom w:val="single" w:color="AAAAAA" w:sz="1"/>
              <w:right w:val="single" w:color="AAAAAA" w:sz="1"/>
            </w:tcBorders>
            <w:tcMar>
              <w:top w:type="dxa" w:w="80"/>
              <w:left w:type="dxa" w:w="80"/>
              <w:bottom w:type="dxa" w:w="80"/>
              <w:right w:type="dxa" w:w="80"/>
            </w:tcMar>
            <w:vAlign w:val="center"/>
          </w:tcPr>
          <w:p>
            <w:pPr>
              <w:jc w:val="center"/>
            </w:pPr>
            <w:r>
              <w:rPr>
                <w:rFonts w:ascii="Arial" w:cs="Arial" w:eastAsia="Arial" w:hAnsi="Arial"/>
                <w:color w:val="000000"/>
                <w:sz w:val="20"/>
                <w:szCs w:val="20"/>
              </w:rPr>
              <w:t xml:space="preserv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Image sourced from Huntington-approved registry (not IBM registry)</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Application Team</w:t>
            </w:r>
          </w:p>
        </w:tc>
      </w:tr>
    </w:tbl>
    <w:p>
      <w:pPr>
        <w:spacing w:after="8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5.2  Post-Deployment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200"/>
        <w:gridCol w:w="2600"/>
      </w:tblGrid>
      <w:tr>
        <w:tc>
          <w:tcPr>
            <w:tcW w:type="dxa" w:w="560"/>
            <w:tcBorders>
              <w:top w:val="single" w:color="AAAAAA" w:sz="1"/>
              <w:left w:val="single" w:color="AAAAAA" w:sz="1"/>
              <w:bottom w:val="single" w:color="AAAAAA" w:sz="1"/>
              <w:right w:val="single" w:color="AAAAAA" w:sz="1"/>
            </w:tcBorders>
            <w:shd w:fill="F0F0F0" w:val="clear"/>
            <w:tcMar>
              <w:top w:type="dxa" w:w="60"/>
              <w:left w:type="dxa" w:w="80"/>
              <w:bottom w:type="dxa" w:w="60"/>
              <w:right w:type="dxa" w:w="80"/>
            </w:tcMar>
          </w:tcPr>
          <w:p>
            <w:pPr>
              <w:jc w:val="center"/>
            </w:pPr>
            <w:r>
              <w:rPr>
                <w:rFonts w:ascii="Arial" w:cs="Arial" w:eastAsia="Arial" w:hAnsi="Arial"/>
                <w:b/>
                <w:bCs/>
                <w:color w:val="000000"/>
                <w:sz w:val="20"/>
                <w:szCs w:val="20"/>
              </w:rPr>
              <w:t xml:space="preserve"/>
            </w:r>
          </w:p>
        </w:tc>
        <w:tc>
          <w:tcPr>
            <w:tcW w:type="dxa" w:w="6200"/>
            <w:tcBorders>
              <w:top w:val="single" w:color="AAAAAA" w:sz="1"/>
              <w:left w:val="single" w:color="AAAAAA" w:sz="1"/>
              <w:bottom w:val="single" w:color="AAAAAA" w:sz="1"/>
              <w:right w:val="single" w:color="AAAAAA" w:sz="1"/>
            </w:tcBorders>
            <w:shd w:fill="F0F0F0" w:val="clear"/>
            <w:tcMar>
              <w:top w:type="dxa" w:w="60"/>
              <w:left w:type="dxa" w:w="120"/>
              <w:bottom w:type="dxa" w:w="60"/>
              <w:right w:type="dxa" w:w="120"/>
            </w:tcMar>
          </w:tcPr>
          <w:p>
            <w:r>
              <w:rPr>
                <w:rFonts w:ascii="Arial" w:cs="Arial" w:eastAsia="Arial" w:hAnsi="Arial"/>
                <w:b/>
                <w:bCs/>
                <w:color w:val="000000"/>
                <w:sz w:val="20"/>
                <w:szCs w:val="20"/>
              </w:rPr>
              <w:t xml:space="preserve">Item</w:t>
            </w:r>
          </w:p>
        </w:tc>
        <w:tc>
          <w:tcPr>
            <w:tcW w:type="dxa" w:w="2600"/>
            <w:tcBorders>
              <w:top w:val="single" w:color="AAAAAA" w:sz="1"/>
              <w:left w:val="single" w:color="AAAAAA" w:sz="1"/>
              <w:bottom w:val="single" w:color="AAAAAA" w:sz="1"/>
              <w:right w:val="single" w:color="AAAAAA" w:sz="1"/>
            </w:tcBorders>
            <w:shd w:fill="F0F0F0" w:val="clear"/>
            <w:tcMar>
              <w:top w:type="dxa" w:w="60"/>
              <w:left w:type="dxa" w:w="120"/>
              <w:bottom w:type="dxa" w:w="60"/>
              <w:right w:type="dxa" w:w="120"/>
            </w:tcMar>
          </w:tcPr>
          <w:p>
            <w:r>
              <w:rPr>
                <w:rFonts w:ascii="Arial" w:cs="Arial" w:eastAsia="Arial" w:hAnsi="Arial"/>
                <w:b/>
                <w:bCs/>
                <w:color w:val="000000"/>
                <w:sz w:val="20"/>
                <w:szCs w:val="20"/>
              </w:rPr>
              <w:t xml:space="preserve">Owner</w:t>
            </w:r>
          </w:p>
        </w:tc>
      </w:tr>
      <w:tr>
        <w:tc>
          <w:tcPr>
            <w:tcW w:type="dxa" w:w="560"/>
            <w:tcBorders>
              <w:top w:val="single" w:color="AAAAAA" w:sz="1"/>
              <w:left w:val="single" w:color="AAAAAA" w:sz="1"/>
              <w:bottom w:val="single" w:color="AAAAAA" w:sz="1"/>
              <w:right w:val="single" w:color="AAAAAA" w:sz="1"/>
            </w:tcBorders>
            <w:tcMar>
              <w:top w:type="dxa" w:w="80"/>
              <w:left w:type="dxa" w:w="80"/>
              <w:bottom w:type="dxa" w:w="80"/>
              <w:right w:type="dxa" w:w="80"/>
            </w:tcMar>
            <w:vAlign w:val="center"/>
          </w:tcPr>
          <w:p>
            <w:pPr>
              <w:jc w:val="center"/>
            </w:pPr>
            <w:r>
              <w:rPr>
                <w:rFonts w:ascii="Arial" w:cs="Arial" w:eastAsia="Arial" w:hAnsi="Arial"/>
                <w:color w:val="000000"/>
                <w:sz w:val="20"/>
                <w:szCs w:val="20"/>
              </w:rPr>
              <w:t xml:space="preserv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Running pod shows all four Illumio labels (kubectl get pod --show-labels)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Application Team</w:t>
            </w:r>
          </w:p>
        </w:tc>
      </w:tr>
      <w:tr>
        <w:tc>
          <w:tcPr>
            <w:tcW w:type="dxa" w:w="560"/>
            <w:tcBorders>
              <w:top w:val="single" w:color="AAAAAA" w:sz="1"/>
              <w:left w:val="single" w:color="AAAAAA" w:sz="1"/>
              <w:bottom w:val="single" w:color="AAAAAA" w:sz="1"/>
              <w:right w:val="single" w:color="AAAAAA" w:sz="1"/>
            </w:tcBorders>
            <w:tcMar>
              <w:top w:type="dxa" w:w="80"/>
              <w:left w:type="dxa" w:w="80"/>
              <w:bottom w:type="dxa" w:w="80"/>
              <w:right w:type="dxa" w:w="80"/>
            </w:tcMar>
            <w:vAlign w:val="center"/>
          </w:tcPr>
          <w:p>
            <w:pPr>
              <w:jc w:val="center"/>
            </w:pPr>
            <w:r>
              <w:rPr>
                <w:rFonts w:ascii="Arial" w:cs="Arial" w:eastAsia="Arial" w:hAnsi="Arial"/>
                <w:color w:val="000000"/>
                <w:sz w:val="20"/>
                <w:szCs w:val="20"/>
              </w:rPr>
              <w:t xml:space="preserv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illumio-env on running pod matches target environment (webhook validation)</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Application Team</w:t>
            </w:r>
          </w:p>
        </w:tc>
      </w:tr>
      <w:tr>
        <w:tc>
          <w:tcPr>
            <w:tcW w:type="dxa" w:w="560"/>
            <w:tcBorders>
              <w:top w:val="single" w:color="AAAAAA" w:sz="1"/>
              <w:left w:val="single" w:color="AAAAAA" w:sz="1"/>
              <w:bottom w:val="single" w:color="AAAAAA" w:sz="1"/>
              <w:right w:val="single" w:color="AAAAAA" w:sz="1"/>
            </w:tcBorders>
            <w:tcMar>
              <w:top w:type="dxa" w:w="80"/>
              <w:left w:type="dxa" w:w="80"/>
              <w:bottom w:type="dxa" w:w="80"/>
              <w:right w:type="dxa" w:w="80"/>
            </w:tcMar>
            <w:vAlign w:val="center"/>
          </w:tcPr>
          <w:p>
            <w:pPr>
              <w:jc w:val="center"/>
            </w:pPr>
            <w:r>
              <w:rPr>
                <w:rFonts w:ascii="Arial" w:cs="Arial" w:eastAsia="Arial" w:hAnsi="Arial"/>
                <w:color w:val="000000"/>
                <w:sz w:val="20"/>
                <w:szCs w:val="20"/>
              </w:rPr>
              <w:t xml:space="preserv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Workload appears in PCE with correct App, Env, Role, Loc labels (not IP-only)</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Application Team</w:t>
            </w:r>
          </w:p>
        </w:tc>
      </w:tr>
      <w:tr>
        <w:tc>
          <w:tcPr>
            <w:tcW w:type="dxa" w:w="560"/>
            <w:tcBorders>
              <w:top w:val="single" w:color="AAAAAA" w:sz="1"/>
              <w:left w:val="single" w:color="AAAAAA" w:sz="1"/>
              <w:bottom w:val="single" w:color="AAAAAA" w:sz="1"/>
              <w:right w:val="single" w:color="AAAAAA" w:sz="1"/>
            </w:tcBorders>
            <w:tcMar>
              <w:top w:type="dxa" w:w="80"/>
              <w:left w:type="dxa" w:w="80"/>
              <w:bottom w:type="dxa" w:w="80"/>
              <w:right w:type="dxa" w:w="80"/>
            </w:tcMar>
            <w:vAlign w:val="center"/>
          </w:tcPr>
          <w:p>
            <w:pPr>
              <w:jc w:val="center"/>
            </w:pPr>
            <w:r>
              <w:rPr>
                <w:rFonts w:ascii="Arial" w:cs="Arial" w:eastAsia="Arial" w:hAnsi="Arial"/>
                <w:color w:val="000000"/>
                <w:sz w:val="20"/>
                <w:szCs w:val="20"/>
              </w:rPr>
              <w:t xml:space="preserv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Workload status shows Online in PCE</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Application Team</w:t>
            </w:r>
          </w:p>
        </w:tc>
      </w:tr>
      <w:tr>
        <w:tc>
          <w:tcPr>
            <w:tcW w:type="dxa" w:w="560"/>
            <w:tcBorders>
              <w:top w:val="single" w:color="AAAAAA" w:sz="1"/>
              <w:left w:val="single" w:color="AAAAAA" w:sz="1"/>
              <w:bottom w:val="single" w:color="AAAAAA" w:sz="1"/>
              <w:right w:val="single" w:color="AAAAAA" w:sz="1"/>
            </w:tcBorders>
            <w:tcMar>
              <w:top w:type="dxa" w:w="80"/>
              <w:left w:type="dxa" w:w="80"/>
              <w:bottom w:type="dxa" w:w="80"/>
              <w:right w:type="dxa" w:w="80"/>
            </w:tcMar>
            <w:vAlign w:val="center"/>
          </w:tcPr>
          <w:p>
            <w:pPr>
              <w:jc w:val="center"/>
            </w:pPr>
            <w:r>
              <w:rPr>
                <w:rFonts w:ascii="Arial" w:cs="Arial" w:eastAsia="Arial" w:hAnsi="Arial"/>
                <w:color w:val="000000"/>
                <w:sz w:val="20"/>
                <w:szCs w:val="20"/>
              </w:rPr>
              <w:t xml:space="preserv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Explorer shows no unexpected Blocked flows for required application traffic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Application Team</w:t>
            </w:r>
          </w:p>
        </w:tc>
      </w:tr>
      <w:tr>
        <w:tc>
          <w:tcPr>
            <w:tcW w:type="dxa" w:w="560"/>
            <w:tcBorders>
              <w:top w:val="single" w:color="AAAAAA" w:sz="1"/>
              <w:left w:val="single" w:color="AAAAAA" w:sz="1"/>
              <w:bottom w:val="single" w:color="AAAAAA" w:sz="1"/>
              <w:right w:val="single" w:color="AAAAAA" w:sz="1"/>
            </w:tcBorders>
            <w:tcMar>
              <w:top w:type="dxa" w:w="80"/>
              <w:left w:type="dxa" w:w="80"/>
              <w:bottom w:type="dxa" w:w="80"/>
              <w:right w:type="dxa" w:w="80"/>
            </w:tcMar>
            <w:vAlign w:val="center"/>
          </w:tcPr>
          <w:p>
            <w:pPr>
              <w:jc w:val="center"/>
            </w:pPr>
            <w:r>
              <w:rPr>
                <w:rFonts w:ascii="Arial" w:cs="Arial" w:eastAsia="Arial" w:hAnsi="Arial"/>
                <w:color w:val="000000"/>
                <w:sz w:val="20"/>
                <w:szCs w:val="20"/>
              </w:rPr>
              <w:t xml:space="preserv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Unknown flows (pd=3) investigated and documented or resolved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App Team + Illuminati</w:t>
            </w:r>
          </w:p>
        </w:tc>
      </w:tr>
      <w:tr>
        <w:tc>
          <w:tcPr>
            <w:tcW w:type="dxa" w:w="560"/>
            <w:tcBorders>
              <w:top w:val="single" w:color="AAAAAA" w:sz="1"/>
              <w:left w:val="single" w:color="AAAAAA" w:sz="1"/>
              <w:bottom w:val="single" w:color="AAAAAA" w:sz="1"/>
              <w:right w:val="single" w:color="AAAAAA" w:sz="1"/>
            </w:tcBorders>
            <w:tcMar>
              <w:top w:type="dxa" w:w="80"/>
              <w:left w:type="dxa" w:w="80"/>
              <w:bottom w:type="dxa" w:w="80"/>
              <w:right w:type="dxa" w:w="80"/>
            </w:tcMar>
            <w:vAlign w:val="center"/>
          </w:tcPr>
          <w:p>
            <w:pPr>
              <w:jc w:val="center"/>
            </w:pPr>
            <w:r>
              <w:rPr>
                <w:rFonts w:ascii="Arial" w:cs="Arial" w:eastAsia="Arial" w:hAnsi="Arial"/>
                <w:color w:val="000000"/>
                <w:sz w:val="20"/>
                <w:szCs w:val="20"/>
              </w:rPr>
              <w:t xml:space="preserv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Required policy rules identified and submitted to Illuminati team for creation</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Application Team</w:t>
            </w:r>
          </w:p>
        </w:tc>
      </w:tr>
      <w:tr>
        <w:tc>
          <w:tcPr>
            <w:tcW w:type="dxa" w:w="560"/>
            <w:tcBorders>
              <w:top w:val="single" w:color="AAAAAA" w:sz="1"/>
              <w:left w:val="single" w:color="AAAAAA" w:sz="1"/>
              <w:bottom w:val="single" w:color="AAAAAA" w:sz="1"/>
              <w:right w:val="single" w:color="AAAAAA" w:sz="1"/>
            </w:tcBorders>
            <w:tcMar>
              <w:top w:type="dxa" w:w="80"/>
              <w:left w:type="dxa" w:w="80"/>
              <w:bottom w:type="dxa" w:w="80"/>
              <w:right w:type="dxa" w:w="80"/>
            </w:tcMar>
            <w:vAlign w:val="center"/>
          </w:tcPr>
          <w:p>
            <w:pPr>
              <w:jc w:val="center"/>
            </w:pPr>
            <w:r>
              <w:rPr>
                <w:rFonts w:ascii="Arial" w:cs="Arial" w:eastAsia="Arial" w:hAnsi="Arial"/>
                <w:color w:val="000000"/>
                <w:sz w:val="20"/>
                <w:szCs w:val="20"/>
              </w:rPr>
              <w:t xml:space="preserv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Policy rules reviewed and provisioned by Illuminati team</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Illuminati Team</w:t>
            </w:r>
          </w:p>
        </w:tc>
      </w:tr>
      <w:tr>
        <w:tc>
          <w:tcPr>
            <w:tcW w:type="dxa" w:w="560"/>
            <w:tcBorders>
              <w:top w:val="single" w:color="AAAAAA" w:sz="1"/>
              <w:left w:val="single" w:color="AAAAAA" w:sz="1"/>
              <w:bottom w:val="single" w:color="AAAAAA" w:sz="1"/>
              <w:right w:val="single" w:color="AAAAAA" w:sz="1"/>
            </w:tcBorders>
            <w:tcMar>
              <w:top w:type="dxa" w:w="80"/>
              <w:left w:type="dxa" w:w="80"/>
              <w:bottom w:type="dxa" w:w="80"/>
              <w:right w:type="dxa" w:w="80"/>
            </w:tcMar>
            <w:vAlign w:val="center"/>
          </w:tcPr>
          <w:p>
            <w:pPr>
              <w:jc w:val="center"/>
            </w:pPr>
            <w:r>
              <w:rPr>
                <w:rFonts w:ascii="Arial" w:cs="Arial" w:eastAsia="Arial" w:hAnsi="Arial"/>
                <w:color w:val="000000"/>
                <w:sz w:val="20"/>
                <w:szCs w:val="20"/>
              </w:rPr>
              <w:t xml:space="preserv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Enforcement mode reviewed — Idle/Visibility confirmed as appropriate starting point</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Illuminati Team</w:t>
            </w:r>
          </w:p>
        </w:tc>
      </w:tr>
    </w:tbl>
    <w:p>
      <w:pPr>
        <w:spacing w:after="8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5.3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200"/>
        <w:gridCol w:w="2600"/>
      </w:tblGrid>
      <w:tr>
        <w:tc>
          <w:tcPr>
            <w:tcW w:type="dxa" w:w="560"/>
            <w:tcBorders>
              <w:top w:val="single" w:color="AAAAAA" w:sz="1"/>
              <w:left w:val="single" w:color="AAAAAA" w:sz="1"/>
              <w:bottom w:val="single" w:color="AAAAAA" w:sz="1"/>
              <w:right w:val="single" w:color="AAAAAA" w:sz="1"/>
            </w:tcBorders>
            <w:shd w:fill="F0F0F0" w:val="clear"/>
            <w:tcMar>
              <w:top w:type="dxa" w:w="60"/>
              <w:left w:type="dxa" w:w="80"/>
              <w:bottom w:type="dxa" w:w="60"/>
              <w:right w:type="dxa" w:w="80"/>
            </w:tcMar>
          </w:tcPr>
          <w:p>
            <w:pPr>
              <w:jc w:val="center"/>
            </w:pPr>
            <w:r>
              <w:rPr>
                <w:rFonts w:ascii="Arial" w:cs="Arial" w:eastAsia="Arial" w:hAnsi="Arial"/>
                <w:b/>
                <w:bCs/>
                <w:color w:val="000000"/>
                <w:sz w:val="20"/>
                <w:szCs w:val="20"/>
              </w:rPr>
              <w:t xml:space="preserve"/>
            </w:r>
          </w:p>
        </w:tc>
        <w:tc>
          <w:tcPr>
            <w:tcW w:type="dxa" w:w="6200"/>
            <w:tcBorders>
              <w:top w:val="single" w:color="AAAAAA" w:sz="1"/>
              <w:left w:val="single" w:color="AAAAAA" w:sz="1"/>
              <w:bottom w:val="single" w:color="AAAAAA" w:sz="1"/>
              <w:right w:val="single" w:color="AAAAAA" w:sz="1"/>
            </w:tcBorders>
            <w:shd w:fill="F0F0F0" w:val="clear"/>
            <w:tcMar>
              <w:top w:type="dxa" w:w="60"/>
              <w:left w:type="dxa" w:w="120"/>
              <w:bottom w:type="dxa" w:w="60"/>
              <w:right w:type="dxa" w:w="120"/>
            </w:tcMar>
          </w:tcPr>
          <w:p>
            <w:r>
              <w:rPr>
                <w:rFonts w:ascii="Arial" w:cs="Arial" w:eastAsia="Arial" w:hAnsi="Arial"/>
                <w:b/>
                <w:bCs/>
                <w:color w:val="000000"/>
                <w:sz w:val="20"/>
                <w:szCs w:val="20"/>
              </w:rPr>
              <w:t xml:space="preserve">Item</w:t>
            </w:r>
          </w:p>
        </w:tc>
        <w:tc>
          <w:tcPr>
            <w:tcW w:type="dxa" w:w="2600"/>
            <w:tcBorders>
              <w:top w:val="single" w:color="AAAAAA" w:sz="1"/>
              <w:left w:val="single" w:color="AAAAAA" w:sz="1"/>
              <w:bottom w:val="single" w:color="AAAAAA" w:sz="1"/>
              <w:right w:val="single" w:color="AAAAAA" w:sz="1"/>
            </w:tcBorders>
            <w:shd w:fill="F0F0F0" w:val="clear"/>
            <w:tcMar>
              <w:top w:type="dxa" w:w="60"/>
              <w:left w:type="dxa" w:w="120"/>
              <w:bottom w:type="dxa" w:w="60"/>
              <w:right w:type="dxa" w:w="120"/>
            </w:tcMar>
          </w:tcPr>
          <w:p>
            <w:r>
              <w:rPr>
                <w:rFonts w:ascii="Arial" w:cs="Arial" w:eastAsia="Arial" w:hAnsi="Arial"/>
                <w:b/>
                <w:bCs/>
                <w:color w:val="000000"/>
                <w:sz w:val="20"/>
                <w:szCs w:val="20"/>
              </w:rPr>
              <w:t xml:space="preserve">Owner</w:t>
            </w:r>
          </w:p>
        </w:tc>
      </w:tr>
      <w:tr>
        <w:tc>
          <w:tcPr>
            <w:tcW w:type="dxa" w:w="560"/>
            <w:tcBorders>
              <w:top w:val="single" w:color="AAAAAA" w:sz="1"/>
              <w:left w:val="single" w:color="AAAAAA" w:sz="1"/>
              <w:bottom w:val="single" w:color="AAAAAA" w:sz="1"/>
              <w:right w:val="single" w:color="AAAAAA" w:sz="1"/>
            </w:tcBorders>
            <w:tcMar>
              <w:top w:type="dxa" w:w="80"/>
              <w:left w:type="dxa" w:w="80"/>
              <w:bottom w:type="dxa" w:w="80"/>
              <w:right w:type="dxa" w:w="80"/>
            </w:tcMar>
            <w:vAlign w:val="center"/>
          </w:tcPr>
          <w:p>
            <w:pPr>
              <w:jc w:val="center"/>
            </w:pPr>
            <w:r>
              <w:rPr>
                <w:rFonts w:ascii="Arial" w:cs="Arial" w:eastAsia="Arial" w:hAnsi="Arial"/>
                <w:color w:val="000000"/>
                <w:sz w:val="20"/>
                <w:szCs w:val="20"/>
              </w:rPr>
              <w:t xml:space="preserv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All pre-deployment and post-deployment items above checked off</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Application Team</w:t>
            </w:r>
          </w:p>
        </w:tc>
      </w:tr>
      <w:tr>
        <w:tc>
          <w:tcPr>
            <w:tcW w:type="dxa" w:w="560"/>
            <w:tcBorders>
              <w:top w:val="single" w:color="AAAAAA" w:sz="1"/>
              <w:left w:val="single" w:color="AAAAAA" w:sz="1"/>
              <w:bottom w:val="single" w:color="AAAAAA" w:sz="1"/>
              <w:right w:val="single" w:color="AAAAAA" w:sz="1"/>
            </w:tcBorders>
            <w:tcMar>
              <w:top w:type="dxa" w:w="80"/>
              <w:left w:type="dxa" w:w="80"/>
              <w:bottom w:type="dxa" w:w="80"/>
              <w:right w:type="dxa" w:w="80"/>
            </w:tcMar>
            <w:vAlign w:val="center"/>
          </w:tcPr>
          <w:p>
            <w:pPr>
              <w:jc w:val="center"/>
            </w:pPr>
            <w:r>
              <w:rPr>
                <w:rFonts w:ascii="Arial" w:cs="Arial" w:eastAsia="Arial" w:hAnsi="Arial"/>
                <w:color w:val="000000"/>
                <w:sz w:val="20"/>
                <w:szCs w:val="20"/>
              </w:rPr>
              <w:t xml:space="preserv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Illuminati team notified of completion — ADO card updated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Application Team</w:t>
            </w:r>
          </w:p>
        </w:tc>
      </w:tr>
      <w:tr>
        <w:tc>
          <w:tcPr>
            <w:tcW w:type="dxa" w:w="560"/>
            <w:tcBorders>
              <w:top w:val="single" w:color="AAAAAA" w:sz="1"/>
              <w:left w:val="single" w:color="AAAAAA" w:sz="1"/>
              <w:bottom w:val="single" w:color="AAAAAA" w:sz="1"/>
              <w:right w:val="single" w:color="AAAAAA" w:sz="1"/>
            </w:tcBorders>
            <w:tcMar>
              <w:top w:type="dxa" w:w="80"/>
              <w:left w:type="dxa" w:w="80"/>
              <w:bottom w:type="dxa" w:w="80"/>
              <w:right w:type="dxa" w:w="80"/>
            </w:tcMar>
            <w:vAlign w:val="center"/>
          </w:tcPr>
          <w:p>
            <w:pPr>
              <w:jc w:val="center"/>
            </w:pPr>
            <w:r>
              <w:rPr>
                <w:rFonts w:ascii="Arial" w:cs="Arial" w:eastAsia="Arial" w:hAnsi="Arial"/>
                <w:color w:val="000000"/>
                <w:sz w:val="20"/>
                <w:szCs w:val="20"/>
              </w:rPr>
              <w:t xml:space="preserv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ADO card updated with cluster name, namespace, and PCE workload reference</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Application Team</w:t>
            </w:r>
          </w:p>
        </w:tc>
      </w:tr>
      <w:tr>
        <w:tc>
          <w:tcPr>
            <w:tcW w:type="dxa" w:w="560"/>
            <w:tcBorders>
              <w:top w:val="single" w:color="AAAAAA" w:sz="1"/>
              <w:left w:val="single" w:color="AAAAAA" w:sz="1"/>
              <w:bottom w:val="single" w:color="AAAAAA" w:sz="1"/>
              <w:right w:val="single" w:color="AAAAAA" w:sz="1"/>
            </w:tcBorders>
            <w:tcMar>
              <w:top w:type="dxa" w:w="80"/>
              <w:left w:type="dxa" w:w="80"/>
              <w:bottom w:type="dxa" w:w="80"/>
              <w:right w:type="dxa" w:w="80"/>
            </w:tcMar>
            <w:vAlign w:val="center"/>
          </w:tcPr>
          <w:p>
            <w:pPr>
              <w:jc w:val="center"/>
            </w:pPr>
            <w:r>
              <w:rPr>
                <w:rFonts w:ascii="Arial" w:cs="Arial" w:eastAsia="Arial" w:hAnsi="Arial"/>
                <w:color w:val="000000"/>
                <w:sz w:val="20"/>
                <w:szCs w:val="20"/>
              </w:rPr>
              <w:t xml:space="preserv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Enforcement mode change ticket raised when team is ready to move beyond Idle</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Application Team</w:t>
            </w:r>
          </w:p>
        </w:tc>
      </w:tr>
    </w:tbl>
    <w:p>
      <w:pPr>
        <w:spacing w:after="80"/>
      </w:pPr>
      <w:r>
        <w:rPr>
          <w:rFonts w:ascii="Arial" w:cs="Arial" w:eastAsia="Arial" w:hAnsi="Arial"/>
          <w:color w:val="000000"/>
          <w:sz w:val="22"/>
          <w:szCs w:val="22"/>
        </w:rPr>
        <w:t xml:space="preserve"/>
      </w:r>
    </w:p>
    <w:p>
      <w:r>
        <w:br w:type="page"/>
      </w:r>
    </w:p>
    <w:p>
      <w:pPr>
        <w:pStyle w:val="Heading1"/>
        <w:pBdr>
          <w:bottom w:val="single" w:color="000000" w:sz="6" w:space="4"/>
        </w:pBdr>
        <w:spacing w:after="160" w:before="360"/>
      </w:pPr>
      <w:r>
        <w:rPr>
          <w:rFonts w:ascii="Arial" w:cs="Arial" w:eastAsia="Arial" w:hAnsi="Arial"/>
          <w:b/>
          <w:bCs/>
          <w:color w:val="000000"/>
          <w:sz w:val="32"/>
          <w:szCs w:val="32"/>
        </w:rPr>
        <w:t xml:space="preserve">6.  Appendix</w:t>
      </w:r>
    </w:p>
    <w:p>
      <w:pPr>
        <w:spacing w:after="8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A.1  Common Issues and Resolutions</w:t>
      </w:r>
    </w:p>
    <w:p>
      <w:pPr>
        <w:spacing w:after="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Issue</w:t>
            </w:r>
          </w:p>
        </w:tc>
        <w:tc>
          <w:tcPr>
            <w:tcW w:type="dxa" w:w="40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Cause and Resolution</w:t>
            </w:r>
          </w:p>
        </w:tc>
        <w:tc>
          <w:tcPr>
            <w:tcW w:type="dxa" w:w="31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Quick Command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Workload shows IP-only in PCE</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Namespace is missing illumio-app, illumio-env, or illumio-loc labels. Apply missing labels and wait 60 seconds for next Kubelink sync cycle.</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kubectl label namespace &lt;ns&gt; illumio-app=A-APP-&lt;id&gt;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illumio-env on pod does not match manifest</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Webhook override fired — pod was deployed to a namespace with a different environment label. Check namespace label and update your source manifest.</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kubectl get namespace &lt;ns&gt; --show-labels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Workload not appearing in PCE at all</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Kubelink is not connected or namespace is not in Kubelink watch scope. Check Kubelink pod status and logs.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kubectl logs deploy/illumio-kubelink -n illumio-system</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Explorer shows pd=3 (unknown) flows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policy rule covers the observed flow. Document source, destination, port, and protocol. Submit to Illuminati team for rule creation.</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PCE Explorer — filter on workload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Workload status Offline in PCE</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C-VEN on the node is offline or pod was removed without unpairing. Check C-VEN DaemonSet status.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kubectl get ds -n illumio-system</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Template validation fails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Template is missing required labels or annotations. Compare against Huntington template and add missing elements.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Contact Illuminati team for review</w:t>
            </w:r>
          </w:p>
        </w:tc>
      </w:tr>
    </w:tbl>
    <w:p>
      <w:pPr>
        <w:spacing w:after="8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A.2  Illumio Label Reference</w:t>
      </w:r>
    </w:p>
    <w:p>
      <w:pPr>
        <w:spacing w:after="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Label Key</w:t>
            </w:r>
          </w:p>
        </w:tc>
        <w:tc>
          <w:tcPr>
            <w:tcW w:type="dxa" w:w="75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Valid Values and Notes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illumio-app</w:t>
            </w:r>
          </w:p>
        </w:tc>
        <w:tc>
          <w:tcPr>
            <w:tcW w:type="dxa" w:w="7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A-APP-&lt;numeric-id&gt;  —  e.g., A-APP-256708  —  identifies which application this workload belongs to</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illumio-env</w:t>
            </w:r>
          </w:p>
        </w:tc>
        <w:tc>
          <w:tcPr>
            <w:tcW w:type="dxa" w:w="7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pd | nonprod | uat | dev  —  determines which policy tier applies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illumio-role</w:t>
            </w:r>
          </w:p>
        </w:tc>
        <w:tc>
          <w:tcPr>
            <w:tcW w:type="dxa" w:w="7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web | app | db | middleware | api | batch  —  identifies the workload's function within the application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illumio-loc</w:t>
            </w:r>
          </w:p>
        </w:tc>
        <w:tc>
          <w:tcPr>
            <w:tcW w:type="dxa" w:w="7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Datacenter name or cloud region  —  used for location-scoped policy</w:t>
            </w:r>
          </w:p>
        </w:tc>
      </w:tr>
    </w:tbl>
    <w:p>
      <w:pPr>
        <w:spacing w:after="8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A.3  kubectl Quick Reference</w:t>
      </w:r>
    </w:p>
    <w:p>
      <w:pPr>
        <w:spacing w:after="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Task</w:t>
            </w:r>
          </w:p>
        </w:tc>
        <w:tc>
          <w:tcPr>
            <w:tcW w:type="dxa" w:w="61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Command</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Show all labels on a pod</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kubectl get pod &lt;pod&gt; -n &lt;ns&gt; --show-labels</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Show namespace labels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kubectl get namespace &lt;ns&gt; --show-labels</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Add label to namespace</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kubectl label namespace &lt;ns&gt; illumio-app=A-APP-&lt;id&gt;</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View pod events (webhook mutations)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kubectl describe pod &lt;pod&gt; -n &lt;ns&gt;</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Check Kubelink status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kubectl get pods -n illumio-system | grep kubelink</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Restart Kubelink to force sync</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kubectl rollout restart deploy/illumio-kubelink -n illumio-system</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Check C-VEN DaemonSet</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kubectl get ds -n illumio-system</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View C-VEN logs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kubectl logs &lt;cven-pod&gt; -n illumio-system</w:t>
            </w:r>
          </w:p>
        </w:tc>
      </w:tr>
    </w:tbl>
    <w:p>
      <w:pPr>
        <w:spacing w:after="8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A.4  PCE Navigation Reference</w:t>
      </w:r>
    </w:p>
    <w:p>
      <w:pPr>
        <w:spacing w:after="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What You Need</w:t>
            </w:r>
          </w:p>
        </w:tc>
        <w:tc>
          <w:tcPr>
            <w:tcW w:type="dxa" w:w="61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PCE Navigation Path</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Container workload inventory</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Workloads &gt; Container Workloads</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Traffic flow visibility</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Explorer &gt; set source/destination filters &gt; Run</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Policy rulesets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Policy &gt; Rulesets</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Container cluster health</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Infrastructure &gt; Container Clusters &gt; [cluster name]</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C-VEN status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Infrastructure &gt; Container Clusters &gt; [cluster] &gt; C-VENs tab</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Kubelink status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Infrastructure &gt; Container Clusters &gt; [cluster] &gt; Kubelink tab</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Storage Pod status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Infrastructure &gt; Container Clusters &gt; [cluster] &gt; Storage Pods tab</w:t>
            </w:r>
          </w:p>
        </w:tc>
      </w:tr>
    </w:tbl>
    <w:p>
      <w:pPr>
        <w:spacing w:after="80"/>
      </w:pPr>
      <w:r>
        <w:rPr>
          <w:rFonts w:ascii="Arial" w:cs="Arial" w:eastAsia="Arial" w:hAnsi="Arial"/>
          <w:color w:val="000000"/>
          <w:sz w:val="22"/>
          <w:szCs w:val="22"/>
        </w:rPr>
        <w:t xml:space="preserve"/>
      </w:r>
    </w:p>
    <w:p>
      <w:pPr>
        <w:spacing w:after="80"/>
      </w:pPr>
      <w:r>
        <w:rPr>
          <w:rFonts w:ascii="Arial" w:cs="Arial" w:eastAsia="Arial" w:hAnsi="Arial"/>
          <w:color w:val="000000"/>
          <w:sz w:val="22"/>
          <w:szCs w:val="22"/>
        </w:rPr>
        <w:t xml:space="preserve"/>
      </w:r>
    </w:p>
    <w:p>
      <w:pPr>
        <w:pBdr>
          <w:bottom w:val="single" w:color="888888" w:sz="4" w:space="1"/>
        </w:pBdr>
        <w:spacing w:after="80" w:before="80"/>
      </w:pPr>
      <w:r>
        <w:rPr>
          <w:rFonts w:ascii="Arial" w:cs="Arial" w:eastAsia="Arial" w:hAnsi="Arial"/>
          <w:color w:val="000000"/>
          <w:sz w:val="22"/>
          <w:szCs w:val="22"/>
        </w:rPr>
        <w:t xml:space="preserve"/>
      </w:r>
    </w:p>
    <w:p>
      <w:pPr>
        <w:spacing w:before="80"/>
        <w:jc w:val="center"/>
      </w:pPr>
      <w:r>
        <w:rPr>
          <w:rFonts w:ascii="Arial" w:cs="Arial" w:eastAsia="Arial" w:hAnsi="Arial"/>
          <w:color w:val="404040"/>
          <w:sz w:val="18"/>
          <w:szCs w:val="18"/>
        </w:rPr>
        <w:t xml:space="preserve">Huntington Technology Operations  |  Illuminati Team  |  FND-17108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4"/>
      </w:pBdr>
      <w:jc w:val="center"/>
    </w:pPr>
    <w:r>
      <w:rPr>
        <w:rFonts w:ascii="Arial" w:cs="Arial" w:eastAsia="Arial" w:hAnsi="Arial"/>
        <w:color w:val="404040"/>
        <w:sz w:val="18"/>
        <w:szCs w:val="18"/>
      </w:rPr>
      <w:t xml:space="preserve">Page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of </w:t>
    </w:r>
    <w:r>
      <w:rPr>
        <w:rFonts w:ascii="Arial" w:cs="Arial" w:eastAsia="Arial" w:hAnsi="Arial"/>
        <w:color w:val="404040"/>
        <w:sz w:val="18"/>
        <w:szCs w:val="18"/>
      </w:rPr>
      <w:fldChar w:fldCharType="begin"/>
      <w:instrText xml:space="preserve">NUMPAGES</w:instrText>
      <w:fldChar w:fldCharType="separate"/>
      <w:fldChar w:fldCharType="end"/>
    </w:r>
    <w:r>
      <w:rPr>
        <w:rFonts w:ascii="Arial" w:cs="Arial" w:eastAsia="Arial" w:hAnsi="Arial"/>
        <w:color w:val="404040"/>
        <w:sz w:val="18"/>
        <w:szCs w:val="18"/>
      </w:rPr>
      <w:t xml:space="preserve">     |     Huntington Technology Operations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tabs>
        <w:tab w:val="right" w:pos="8640"/>
      </w:tabs>
      <w:spacing w:after="120"/>
    </w:pPr>
    <w:r>
      <w:rPr>
        <w:rFonts w:ascii="Arial" w:cs="Arial" w:eastAsia="Arial" w:hAnsi="Arial"/>
        <w:color w:val="404040"/>
        <w:sz w:val="18"/>
        <w:szCs w:val="18"/>
      </w:rPr>
      <w:t xml:space="preserve">Huntington Container Onboarding — Application Team Guide</w:t>
    </w:r>
    <w:r>
      <w:rPr>
        <w:rFonts w:ascii="Arial" w:cs="Arial" w:eastAsia="Arial" w:hAnsi="Arial"/>
        <w:sz w:val="18"/>
        <w:szCs w:val="18"/>
      </w:rPr>
      <w:t xml:space="preserve">	</w:t>
    </w:r>
    <w:r>
      <w:rPr>
        <w:rFonts w:ascii="Arial" w:cs="Arial" w:eastAsia="Arial" w:hAnsi="Arial"/>
        <w:color w:val="404040"/>
        <w:sz w:val="18"/>
        <w:szCs w:val="18"/>
      </w:rPr>
      <w:t xml:space="preserve">FND-17108  |  ADO 2598492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2026-04-06T16:01:27.181Z</dcterms:created>
  <dcterms:modified xsi:type="dcterms:W3CDTF">2026-04-06T16:01:27.181Z</dcterms:modified>
</cp:coreProperties>
</file>

<file path=docProps/custom.xml><?xml version="1.0" encoding="utf-8"?>
<Properties xmlns="http://schemas.openxmlformats.org/officeDocument/2006/custom-properties" xmlns:vt="http://schemas.openxmlformats.org/officeDocument/2006/docPropsVTypes"/>
</file>