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t xml:space="preserve">2024秋拍、2025春拍、2025秋拍书画专场系统性汇总与横向对比分析报告</w:t>
      </w:r>
    </w:p>
    <w:p>
      <w:pPr>
        <w:pStyle w:val="Heading2"/>
      </w:pPr>
      <w:r>
        <w:t xml:space="preserve">一、报告说明</w:t>
      </w:r>
    </w:p>
    <w:p>
      <w:pPr>
        <w:pStyle w:val="Heading3"/>
      </w:pPr>
      <w:r>
        <w:t xml:space="preserve">（一）分析范围</w:t>
      </w:r>
    </w:p>
    <w:p>
      <w:pPr>
        <w:pStyle w:val="Normal"/>
      </w:pPr>
      <w:r>
        <w:t xml:space="preserve">本次分析覆盖2024年秋季拍卖会、2025年春季拍卖会、2025年秋季拍卖会三大专场，拍品包含传统书画、西画、油画、版画，不含写经，无陶瓷、紫砂等其他品类数据。</w:t>
      </w:r>
    </w:p>
    <w:p>
      <w:pPr>
        <w:pStyle w:val="Heading3"/>
      </w:pPr>
      <w:r>
        <w:t xml:space="preserve">（二）数据依据</w:t>
      </w:r>
    </w:p>
    <w:p>
      <w:pPr>
        <w:pStyle w:val="Normal"/>
      </w:pPr>
      <w:r>
        <w:t xml:space="preserve">严格依据已上传的2024秋拍、2025春拍、2025秋拍书画专场分析报告，不篡改、不编造，无数据项明确标注"无相关数据"。</w:t>
      </w:r>
    </w:p>
    <w:p>
      <w:pPr>
        <w:pStyle w:val="Heading3"/>
      </w:pPr>
      <w:r>
        <w:t xml:space="preserve">（三）核心维度</w:t>
      </w:r>
    </w:p>
    <w:p>
      <w:pPr>
        <w:pStyle w:val="Normal"/>
      </w:pPr>
      <w:r>
        <w:t xml:space="preserve">围绕拍品规模、年代结构、估值价格、品类构成、名家价值、来源信息六大维度开展横向对比。</w:t>
      </w:r>
    </w:p>
    <w:p>
      <w:pPr>
        <w:pStyle w:val="Heading3"/>
      </w:pPr>
      <w:r>
        <w:t xml:space="preserve">（四）分析目标</w:t>
      </w:r>
    </w:p>
    <w:p>
      <w:pPr>
        <w:pStyle w:val="Normal"/>
      </w:pPr>
      <w:r>
        <w:t xml:space="preserve">梳理三场拍卖供给、价格、品类、名家、渠道特征，提炼共性规律与差异，总结市场趋势，汇总全场次数据质量问题。</w:t>
      </w:r>
    </w:p>
    <w:p>
      <w:pPr>
        <w:pStyle w:val="Heading2"/>
      </w:pPr>
      <w:r>
        <w:t xml:space="preserve">二、拍品总规模概览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0"/>
        <w:gridCol w:w="4500"/>
      </w:tblGrid>
      <w:tr>
        <w:tc>
          <w:tcPr>
            <w:tcW w:w="4500" w:type="dxa"/>
            <w:shd w:val="clear" w:color="auto" w:fill="D9E2F3"/>
          </w:tcPr>
          <w:p>
            <w:r>
              <w:rPr>
                <w:b/>
                <w:bCs/>
              </w:rPr>
              <w:t xml:space="preserve">拍卖场次</w:t>
            </w:r>
          </w:p>
        </w:tc>
        <w:tc>
          <w:tcPr>
            <w:tcW w:w="4500" w:type="dxa"/>
            <w:shd w:val="clear" w:color="auto" w:fill="D9E2F3"/>
          </w:tcPr>
          <w:p>
            <w:r>
              <w:rPr>
                <w:b/>
                <w:bCs/>
              </w:rPr>
              <w:t xml:space="preserve">拍品总件数</w:t>
            </w:r>
          </w:p>
        </w:tc>
      </w:tr>
      <w:tr>
        <w:tc>
          <w:tcPr>
            <w:tcW w:w="4500" w:type="dxa"/>
          </w:tcPr>
          <w:p>
            <w:r>
              <w:t xml:space="preserve">2024年秋拍</w:t>
            </w:r>
          </w:p>
        </w:tc>
        <w:tc>
          <w:tcPr>
            <w:tcW w:w="4500" w:type="dxa"/>
          </w:tcPr>
          <w:p>
            <w:r>
              <w:t xml:space="preserve">2642件</w:t>
            </w:r>
          </w:p>
        </w:tc>
      </w:tr>
      <w:tr>
        <w:tc>
          <w:tcPr>
            <w:tcW w:w="4500" w:type="dxa"/>
          </w:tcPr>
          <w:p>
            <w:r>
              <w:t xml:space="preserve">2025年春拍</w:t>
            </w:r>
          </w:p>
        </w:tc>
        <w:tc>
          <w:tcPr>
            <w:tcW w:w="4500" w:type="dxa"/>
          </w:tcPr>
          <w:p>
            <w:r>
              <w:t xml:space="preserve">2561件</w:t>
            </w:r>
          </w:p>
        </w:tc>
      </w:tr>
      <w:tr>
        <w:tc>
          <w:tcPr>
            <w:tcW w:w="4500" w:type="dxa"/>
          </w:tcPr>
          <w:p>
            <w:r>
              <w:t xml:space="preserve">2025年秋拍</w:t>
            </w:r>
          </w:p>
        </w:tc>
        <w:tc>
          <w:tcPr>
            <w:tcW w:w="4500" w:type="dxa"/>
          </w:tcPr>
          <w:p>
            <w:r>
              <w:t xml:space="preserve">2340件</w:t>
            </w:r>
          </w:p>
        </w:tc>
      </w:tr>
    </w:tbl>
    <w:p>
      <w:pPr>
        <w:pStyle w:val="Normal"/>
      </w:pPr>
      <w:r>
        <w:rPr>
          <w:b/>
          <w:bCs/>
        </w:rPr>
        <w:t xml:space="preserve">核心结论</w:t>
      </w:r>
      <w:r>
        <w:t xml:space="preserve">：三场拍卖总规模呈稳步小幅递减趋势，2024秋拍体量最大，2025秋拍体量最小，整体保持2300-2700件区间。</w:t>
      </w:r>
    </w:p>
    <w:p>
      <w:pPr>
        <w:pStyle w:val="Heading2"/>
      </w:pPr>
      <w:r>
        <w:t xml:space="preserve">三、五大核心维度横向对比</w:t>
      </w:r>
    </w:p>
    <w:p>
      <w:pPr>
        <w:pStyle w:val="Heading3"/>
      </w:pPr>
      <w:r>
        <w:t xml:space="preserve">（一）年代结构（供给结构核心）</w:t>
      </w:r>
    </w:p>
    <w:p>
      <w:pPr>
        <w:pStyle w:val="ListNumber"/>
        <w:numPr>
          <w:ilvl w:val="0"/>
          <w:numId w:val="2"/>
        </w:numPr>
      </w:pPr>
      <w:r>
        <w:t xml:space="preserve">各年代数量及占比统计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color="auto" w:fill="D9E2F3"/>
          </w:tcPr>
          <w:p>
            <w:r>
              <w:rPr>
                <w:b/>
                <w:bCs/>
              </w:rPr>
              <w:t xml:space="preserve">年代分类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b/>
                <w:bCs/>
              </w:rPr>
              <w:t xml:space="preserve">2024秋拍（数量/占比）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b/>
                <w:bCs/>
              </w:rPr>
              <w:t xml:space="preserve">2025春拍（数量/占比）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b/>
                <w:bCs/>
              </w:rPr>
              <w:t xml:space="preserve">2025秋拍（数量/占比）</w:t>
            </w:r>
          </w:p>
        </w:tc>
      </w:tr>
      <w:tr>
        <w:tc>
          <w:tcPr>
            <w:tcW w:w="2250" w:type="dxa"/>
          </w:tcPr>
          <w:p>
            <w:r>
              <w:t xml:space="preserve">近现代</w:t>
            </w:r>
          </w:p>
        </w:tc>
        <w:tc>
          <w:tcPr>
            <w:tcW w:w="2250" w:type="dxa"/>
          </w:tcPr>
          <w:p>
            <w:r>
              <w:t xml:space="preserve">1482件/56.09%</w:t>
            </w:r>
          </w:p>
        </w:tc>
        <w:tc>
          <w:tcPr>
            <w:tcW w:w="2250" w:type="dxa"/>
          </w:tcPr>
          <w:p>
            <w:r>
              <w:t xml:space="preserve">1406件/54.90%</w:t>
            </w:r>
          </w:p>
        </w:tc>
        <w:tc>
          <w:tcPr>
            <w:tcW w:w="2250" w:type="dxa"/>
          </w:tcPr>
          <w:p>
            <w:r>
              <w:t xml:space="preserve">1293件/55.26%</w:t>
            </w:r>
          </w:p>
        </w:tc>
      </w:tr>
      <w:tr>
        <w:tc>
          <w:tcPr>
            <w:tcW w:w="2250" w:type="dxa"/>
          </w:tcPr>
          <w:p>
            <w:r>
              <w:t xml:space="preserve">清</w:t>
            </w:r>
          </w:p>
        </w:tc>
        <w:tc>
          <w:tcPr>
            <w:tcW w:w="2250" w:type="dxa"/>
          </w:tcPr>
          <w:p>
            <w:r>
              <w:t xml:space="preserve">683件/25.85%</w:t>
            </w:r>
          </w:p>
        </w:tc>
        <w:tc>
          <w:tcPr>
            <w:tcW w:w="2250" w:type="dxa"/>
          </w:tcPr>
          <w:p>
            <w:r>
              <w:t xml:space="preserve">621件/24.25%</w:t>
            </w:r>
          </w:p>
        </w:tc>
        <w:tc>
          <w:tcPr>
            <w:tcW w:w="2250" w:type="dxa"/>
          </w:tcPr>
          <w:p>
            <w:r>
              <w:t xml:space="preserve">596件/25.47%</w:t>
            </w:r>
          </w:p>
        </w:tc>
      </w:tr>
      <w:tr>
        <w:tc>
          <w:tcPr>
            <w:tcW w:w="2250" w:type="dxa"/>
          </w:tcPr>
          <w:p>
            <w:r>
              <w:t xml:space="preserve">民国</w:t>
            </w:r>
          </w:p>
        </w:tc>
        <w:tc>
          <w:tcPr>
            <w:tcW w:w="2250" w:type="dxa"/>
          </w:tcPr>
          <w:p>
            <w:r>
              <w:t xml:space="preserve">224件/8.48%</w:t>
            </w:r>
          </w:p>
        </w:tc>
        <w:tc>
          <w:tcPr>
            <w:tcW w:w="2250" w:type="dxa"/>
          </w:tcPr>
          <w:p>
            <w:r>
              <w:t xml:space="preserve">302件/11.79%</w:t>
            </w:r>
          </w:p>
        </w:tc>
        <w:tc>
          <w:tcPr>
            <w:tcW w:w="2250" w:type="dxa"/>
          </w:tcPr>
          <w:p>
            <w:r>
              <w:t xml:space="preserve">179件/7.65%</w:t>
            </w:r>
          </w:p>
        </w:tc>
      </w:tr>
      <w:tr>
        <w:tc>
          <w:tcPr>
            <w:tcW w:w="2250" w:type="dxa"/>
          </w:tcPr>
          <w:p>
            <w:r>
              <w:t xml:space="preserve">明</w:t>
            </w:r>
          </w:p>
        </w:tc>
        <w:tc>
          <w:tcPr>
            <w:tcW w:w="2250" w:type="dxa"/>
          </w:tcPr>
          <w:p>
            <w:r>
              <w:t xml:space="preserve">188件/7.12%</w:t>
            </w:r>
          </w:p>
        </w:tc>
        <w:tc>
          <w:tcPr>
            <w:tcW w:w="2250" w:type="dxa"/>
          </w:tcPr>
          <w:p>
            <w:r>
              <w:t xml:space="preserve">152件/5.94%</w:t>
            </w:r>
          </w:p>
        </w:tc>
        <w:tc>
          <w:tcPr>
            <w:tcW w:w="2250" w:type="dxa"/>
          </w:tcPr>
          <w:p>
            <w:r>
              <w:t xml:space="preserve">119件/5.09%</w:t>
            </w:r>
          </w:p>
        </w:tc>
      </w:tr>
      <w:tr>
        <w:tc>
          <w:tcPr>
            <w:tcW w:w="2250" w:type="dxa"/>
          </w:tcPr>
          <w:p>
            <w:r>
              <w:t xml:space="preserve">其他</w:t>
            </w:r>
          </w:p>
        </w:tc>
        <w:tc>
          <w:tcPr>
            <w:tcW w:w="2250" w:type="dxa"/>
          </w:tcPr>
          <w:p>
            <w:r>
              <w:t xml:space="preserve">56件/2.12%</w:t>
            </w:r>
          </w:p>
        </w:tc>
        <w:tc>
          <w:tcPr>
            <w:tcW w:w="2250" w:type="dxa"/>
          </w:tcPr>
          <w:p>
            <w:r>
              <w:t xml:space="preserve">73件/2.85%</w:t>
            </w:r>
          </w:p>
        </w:tc>
        <w:tc>
          <w:tcPr>
            <w:tcW w:w="2250" w:type="dxa"/>
          </w:tcPr>
          <w:p>
            <w:r>
              <w:t xml:space="preserve">151件/6.45%</w:t>
            </w:r>
          </w:p>
        </w:tc>
      </w:tr>
      <w:tr>
        <w:tc>
          <w:tcPr>
            <w:tcW w:w="2250" w:type="dxa"/>
          </w:tcPr>
          <w:p>
            <w:r>
              <w:t xml:space="preserve">元代及以前</w:t>
            </w:r>
          </w:p>
        </w:tc>
        <w:tc>
          <w:tcPr>
            <w:tcW w:w="2250" w:type="dxa"/>
          </w:tcPr>
          <w:p>
            <w:r>
              <w:t xml:space="preserve">9件/0.34%</w:t>
            </w:r>
          </w:p>
        </w:tc>
        <w:tc>
          <w:tcPr>
            <w:tcW w:w="2250" w:type="dxa"/>
          </w:tcPr>
          <w:p>
            <w:r>
              <w:t xml:space="preserve">7件/0.27%</w:t>
            </w:r>
          </w:p>
        </w:tc>
        <w:tc>
          <w:tcPr>
            <w:tcW w:w="2250" w:type="dxa"/>
          </w:tcPr>
          <w:p>
            <w:r>
              <w:t xml:space="preserve">2件/0.09%</w:t>
            </w:r>
          </w:p>
        </w:tc>
      </w:tr>
    </w:tbl>
    <w:p>
      <w:pPr>
        <w:pStyle w:val="ListNumber"/>
        <w:numPr>
          <w:ilvl w:val="0"/>
          <w:numId w:val="3"/>
        </w:numPr>
      </w:pPr>
      <w:r>
        <w:t xml:space="preserve">主力年代与高古作品变化</w:t>
      </w:r>
    </w:p>
    <w:p>
      <w:pPr>
        <w:pStyle w:val="Normal"/>
      </w:pPr>
      <w:r>
        <w:t xml:space="preserve">主力年代：近现代均为绝对主力，占比稳定在54%-56%；清代稳居第二，占比24%-26%，两场占比波动极小。 高古作品：元代及以前拍品持续锐减，从2024秋拍9件降至2025秋拍2件，稀缺性持续提升。 其他类：占比持续上升，从2.12%升至6.45%，主因年代标注模糊。</w:t>
      </w:r>
    </w:p>
    <w:p>
      <w:pPr>
        <w:pStyle w:val="ListNumber"/>
        <w:numPr>
          <w:ilvl w:val="0"/>
          <w:numId w:val="4"/>
        </w:numPr>
      </w:pPr>
      <w:r>
        <w:t xml:space="preserve">共性、个性、趋势</w:t>
      </w:r>
    </w:p>
    <w:p>
      <w:pPr>
        <w:pStyle w:val="Normal"/>
      </w:pPr>
      <w:r>
        <w:t xml:space="preserve">共性：近现代+清代合计占比超80%，为市场核心供给；高古作品占比均不足1%，极度稀缺。 个性：2025春拍民国作品占比显著高于另外两场；2025秋拍其他类占比翻倍。 趋势：供给结构持续向近现代、清代集中，高古作品供给收缩，模糊标注导致其他类扩容。</w:t>
      </w:r>
    </w:p>
    <w:p>
      <w:pPr>
        <w:pStyle w:val="Heading3"/>
      </w:pPr>
      <w:r>
        <w:t xml:space="preserve">（二）估值/价格结构（价格特征核心）</w:t>
      </w:r>
    </w:p>
    <w:p>
      <w:pPr>
        <w:pStyle w:val="ListNumber"/>
        <w:numPr>
          <w:ilvl w:val="0"/>
          <w:numId w:val="5"/>
        </w:numPr>
      </w:pPr>
      <w:r>
        <w:t xml:space="preserve">价格区间统计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color="auto" w:fill="D9E2F3"/>
          </w:tcPr>
          <w:p>
            <w:r>
              <w:rPr>
                <w:b/>
                <w:bCs/>
              </w:rPr>
              <w:t xml:space="preserve">价格区间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b/>
                <w:bCs/>
              </w:rPr>
              <w:t xml:space="preserve">2024秋拍（数量/占比）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b/>
                <w:bCs/>
              </w:rPr>
              <w:t xml:space="preserve">2025春拍（数量/占比）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b/>
                <w:bCs/>
              </w:rPr>
              <w:t xml:space="preserve">2025秋拍（数量/占比）</w:t>
            </w:r>
          </w:p>
        </w:tc>
      </w:tr>
      <w:tr>
        <w:tc>
          <w:tcPr>
            <w:tcW w:w="2250" w:type="dxa"/>
          </w:tcPr>
          <w:p>
            <w:r>
              <w:t xml:space="preserve">千万级</w:t>
            </w:r>
          </w:p>
        </w:tc>
        <w:tc>
          <w:tcPr>
            <w:tcW w:w="2250" w:type="dxa"/>
          </w:tcPr>
          <w:p>
            <w:r>
              <w:t xml:space="preserve">6件/0.23%</w:t>
            </w:r>
          </w:p>
        </w:tc>
        <w:tc>
          <w:tcPr>
            <w:tcW w:w="2250" w:type="dxa"/>
          </w:tcPr>
          <w:p>
            <w:r>
              <w:t xml:space="preserve">8件/0.31%</w:t>
            </w:r>
          </w:p>
        </w:tc>
        <w:tc>
          <w:tcPr>
            <w:tcW w:w="2250" w:type="dxa"/>
          </w:tcPr>
          <w:p>
            <w:r>
              <w:t xml:space="preserve">8件/0.34%</w:t>
            </w:r>
          </w:p>
        </w:tc>
      </w:tr>
      <w:tr>
        <w:tc>
          <w:tcPr>
            <w:tcW w:w="2250" w:type="dxa"/>
          </w:tcPr>
          <w:p>
            <w:r>
              <w:t xml:space="preserve">百万级</w:t>
            </w:r>
          </w:p>
        </w:tc>
        <w:tc>
          <w:tcPr>
            <w:tcW w:w="2250" w:type="dxa"/>
          </w:tcPr>
          <w:p>
            <w:r>
              <w:t xml:space="preserve">156件/5.90%</w:t>
            </w:r>
          </w:p>
        </w:tc>
        <w:tc>
          <w:tcPr>
            <w:tcW w:w="2250" w:type="dxa"/>
          </w:tcPr>
          <w:p>
            <w:r>
              <w:t xml:space="preserve">174件/6.79%</w:t>
            </w:r>
          </w:p>
        </w:tc>
        <w:tc>
          <w:tcPr>
            <w:tcW w:w="2250" w:type="dxa"/>
          </w:tcPr>
          <w:p>
            <w:r>
              <w:t xml:space="preserve">130件/5.56%</w:t>
            </w:r>
          </w:p>
        </w:tc>
      </w:tr>
      <w:tr>
        <w:tc>
          <w:tcPr>
            <w:tcW w:w="2250" w:type="dxa"/>
          </w:tcPr>
          <w:p>
            <w:r>
              <w:t xml:space="preserve">十万级</w:t>
            </w:r>
          </w:p>
        </w:tc>
        <w:tc>
          <w:tcPr>
            <w:tcW w:w="2250" w:type="dxa"/>
          </w:tcPr>
          <w:p>
            <w:r>
              <w:t xml:space="preserve">842件/31.87%</w:t>
            </w:r>
          </w:p>
        </w:tc>
        <w:tc>
          <w:tcPr>
            <w:tcW w:w="2250" w:type="dxa"/>
          </w:tcPr>
          <w:p>
            <w:r>
              <w:t xml:space="preserve">813件/31.75%</w:t>
            </w:r>
          </w:p>
        </w:tc>
        <w:tc>
          <w:tcPr>
            <w:tcW w:w="2250" w:type="dxa"/>
          </w:tcPr>
          <w:p>
            <w:r>
              <w:t xml:space="preserve">686件/29.32%</w:t>
            </w:r>
          </w:p>
        </w:tc>
      </w:tr>
      <w:tr>
        <w:tc>
          <w:tcPr>
            <w:tcW w:w="2250" w:type="dxa"/>
          </w:tcPr>
          <w:p>
            <w:r>
              <w:t xml:space="preserve">十万级以下</w:t>
            </w:r>
          </w:p>
        </w:tc>
        <w:tc>
          <w:tcPr>
            <w:tcW w:w="2250" w:type="dxa"/>
          </w:tcPr>
          <w:p>
            <w:r>
              <w:t xml:space="preserve">1529件/57.87%</w:t>
            </w:r>
          </w:p>
        </w:tc>
        <w:tc>
          <w:tcPr>
            <w:tcW w:w="2250" w:type="dxa"/>
          </w:tcPr>
          <w:p>
            <w:r>
              <w:t xml:space="preserve">1508件/58.88%</w:t>
            </w:r>
          </w:p>
        </w:tc>
        <w:tc>
          <w:tcPr>
            <w:tcW w:w="2250" w:type="dxa"/>
          </w:tcPr>
          <w:p>
            <w:r>
              <w:t xml:space="preserve">1516件/64.79%</w:t>
            </w:r>
          </w:p>
        </w:tc>
      </w:tr>
      <w:tr>
        <w:tc>
          <w:tcPr>
            <w:tcW w:w="2250" w:type="dxa"/>
          </w:tcPr>
          <w:p>
            <w:r>
              <w:t xml:space="preserve">无底价</w:t>
            </w:r>
          </w:p>
        </w:tc>
        <w:tc>
          <w:tcPr>
            <w:tcW w:w="2250" w:type="dxa"/>
          </w:tcPr>
          <w:p>
            <w:r>
              <w:t xml:space="preserve">109件/4.13%</w:t>
            </w:r>
          </w:p>
        </w:tc>
        <w:tc>
          <w:tcPr>
            <w:tcW w:w="2250" w:type="dxa"/>
          </w:tcPr>
          <w:p>
            <w:r>
              <w:t xml:space="preserve">58件/2.26%</w:t>
            </w:r>
          </w:p>
        </w:tc>
        <w:tc>
          <w:tcPr>
            <w:tcW w:w="2250" w:type="dxa"/>
          </w:tcPr>
          <w:p>
            <w:r>
              <w:t xml:space="preserve">0件/0.00%</w:t>
            </w:r>
          </w:p>
        </w:tc>
      </w:tr>
    </w:tbl>
    <w:p>
      <w:pPr>
        <w:pStyle w:val="ListNumber"/>
        <w:numPr>
          <w:ilvl w:val="0"/>
          <w:numId w:val="6"/>
        </w:numPr>
      </w:pPr>
      <w:r>
        <w:t xml:space="preserve">三场最高价拍品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color="auto" w:fill="D9E2F3"/>
          </w:tcPr>
          <w:p>
            <w:r>
              <w:rPr>
                <w:b/>
                <w:bCs/>
              </w:rPr>
              <w:t xml:space="preserve">拍卖场次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b/>
                <w:bCs/>
              </w:rPr>
              <w:t xml:space="preserve">拍品名称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b/>
                <w:bCs/>
              </w:rPr>
              <w:t xml:space="preserve">估价（元）</w:t>
            </w:r>
          </w:p>
        </w:tc>
      </w:tr>
      <w:tr>
        <w:tc>
          <w:tcPr>
            <w:tcW w:w="2250" w:type="dxa"/>
          </w:tcPr>
          <w:p>
            <w:r>
              <w:t xml:space="preserve">2024秋拍</w:t>
            </w:r>
          </w:p>
        </w:tc>
        <w:tc>
          <w:tcPr>
            <w:tcW w:w="2250" w:type="dxa"/>
          </w:tcPr>
          <w:p>
            <w:r>
              <w:t xml:space="preserve">徐渭</w:t>
            </w:r>
          </w:p>
        </w:tc>
        <w:tc>
          <w:tcPr>
            <w:tcW w:w="2250" w:type="dxa"/>
          </w:tcPr>
          <w:p>
            <w:r>
              <w:t xml:space="preserve">墨花八段卷</w:t>
            </w:r>
          </w:p>
        </w:tc>
        <w:tc>
          <w:tcPr>
            <w:tcW w:w="2250" w:type="dxa"/>
          </w:tcPr>
          <w:p>
            <w:r>
              <w:t xml:space="preserve">20000000-30000000</w:t>
            </w:r>
          </w:p>
        </w:tc>
      </w:tr>
      <w:tr>
        <w:tc>
          <w:tcPr>
            <w:tcW w:w="2250" w:type="dxa"/>
          </w:tcPr>
          <w:p>
            <w:r>
              <w:t xml:space="preserve">2025春拍</w:t>
            </w:r>
          </w:p>
        </w:tc>
        <w:tc>
          <w:tcPr>
            <w:tcW w:w="2250" w:type="dxa"/>
          </w:tcPr>
          <w:p>
            <w:r>
              <w:t xml:space="preserve">萧云从</w:t>
            </w:r>
          </w:p>
        </w:tc>
        <w:tc>
          <w:tcPr>
            <w:tcW w:w="2250" w:type="dxa"/>
          </w:tcPr>
          <w:p>
            <w:r>
              <w:t xml:space="preserve">秋林闲居图</w:t>
            </w:r>
          </w:p>
        </w:tc>
        <w:tc>
          <w:tcPr>
            <w:tcW w:w="2250" w:type="dxa"/>
          </w:tcPr>
          <w:p>
            <w:r>
              <w:t xml:space="preserve">11000000-19000000</w:t>
            </w:r>
          </w:p>
        </w:tc>
      </w:tr>
      <w:tr>
        <w:tc>
          <w:tcPr>
            <w:tcW w:w="2250" w:type="dxa"/>
          </w:tcPr>
          <w:p>
            <w:r>
              <w:t xml:space="preserve">2025秋拍</w:t>
            </w:r>
          </w:p>
        </w:tc>
        <w:tc>
          <w:tcPr>
            <w:tcW w:w="2250" w:type="dxa"/>
          </w:tcPr>
          <w:p>
            <w:r>
              <w:t xml:space="preserve">关良</w:t>
            </w:r>
          </w:p>
        </w:tc>
        <w:tc>
          <w:tcPr>
            <w:tcW w:w="2250" w:type="dxa"/>
          </w:tcPr>
          <w:p>
            <w:r>
              <w:t xml:space="preserve">花果</w:t>
            </w:r>
          </w:p>
        </w:tc>
        <w:tc>
          <w:tcPr>
            <w:tcW w:w="2250" w:type="dxa"/>
          </w:tcPr>
          <w:p>
            <w:r>
              <w:t xml:space="preserve">12000000-18000000</w:t>
            </w:r>
          </w:p>
        </w:tc>
      </w:tr>
    </w:tbl>
    <w:p>
      <w:pPr>
        <w:pStyle w:val="ListNumber"/>
        <w:numPr>
          <w:ilvl w:val="0"/>
          <w:numId w:val="7"/>
        </w:numPr>
      </w:pPr>
      <w:r>
        <w:t xml:space="preserve">共性、个性、趋势</w:t>
      </w:r>
    </w:p>
    <w:p>
      <w:pPr>
        <w:pStyle w:val="Normal"/>
      </w:pPr>
      <w:r>
        <w:t xml:space="preserve">共性：均呈金字塔型价格结构，十万级以下为走量基础，千万级为高端锚点。 个性：2024秋拍无底价拍品最多，2025秋拍无无底价拍品；2024秋拍最高价拍品估值显著高于另外两场。 趋势：千万级拍品占比小幅提升，低端走量拍品占比持续扩大，无底价拍品逐步取消。</w:t>
      </w:r>
    </w:p>
    <w:p>
      <w:pPr>
        <w:pStyle w:val="Heading3"/>
      </w:pPr>
      <w:r>
        <w:t xml:space="preserve">（三）品类/器型构成（专场定位核心）</w:t>
      </w:r>
    </w:p>
    <w:p>
      <w:pPr>
        <w:pStyle w:val="ListNumber"/>
        <w:numPr>
          <w:ilvl w:val="0"/>
          <w:numId w:val="8"/>
        </w:numPr>
      </w:pPr>
      <w:r>
        <w:t xml:space="preserve">核心品类占比统计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color="auto" w:fill="D9E2F3"/>
          </w:tcPr>
          <w:p>
            <w:r>
              <w:rPr>
                <w:b/>
                <w:bCs/>
              </w:rPr>
              <w:t xml:space="preserve">品类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b/>
                <w:bCs/>
              </w:rPr>
              <w:t xml:space="preserve">2024秋拍（数量/占比）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b/>
                <w:bCs/>
              </w:rPr>
              <w:t xml:space="preserve">2025春拍（数量/占比）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b/>
                <w:bCs/>
              </w:rPr>
              <w:t xml:space="preserve">2025秋拍（数量/占比）</w:t>
            </w:r>
          </w:p>
        </w:tc>
      </w:tr>
      <w:tr>
        <w:tc>
          <w:tcPr>
            <w:tcW w:w="2250" w:type="dxa"/>
          </w:tcPr>
          <w:p>
            <w:r>
              <w:t xml:space="preserve">传统中国绘画</w:t>
            </w:r>
          </w:p>
        </w:tc>
        <w:tc>
          <w:tcPr>
            <w:tcW w:w="2250" w:type="dxa"/>
          </w:tcPr>
          <w:p>
            <w:r>
              <w:t xml:space="preserve">1342件/50.79%</w:t>
            </w:r>
          </w:p>
        </w:tc>
        <w:tc>
          <w:tcPr>
            <w:tcW w:w="2250" w:type="dxa"/>
          </w:tcPr>
          <w:p>
            <w:r>
              <w:t xml:space="preserve">1586件/61.93%</w:t>
            </w:r>
          </w:p>
        </w:tc>
        <w:tc>
          <w:tcPr>
            <w:tcW w:w="2250" w:type="dxa"/>
          </w:tcPr>
          <w:p>
            <w:r>
              <w:t xml:space="preserve">1409件/60.21%</w:t>
            </w:r>
          </w:p>
        </w:tc>
      </w:tr>
      <w:tr>
        <w:tc>
          <w:tcPr>
            <w:tcW w:w="2250" w:type="dxa"/>
          </w:tcPr>
          <w:p>
            <w:r>
              <w:t xml:space="preserve">中国书法</w:t>
            </w:r>
          </w:p>
        </w:tc>
        <w:tc>
          <w:tcPr>
            <w:tcW w:w="2250" w:type="dxa"/>
          </w:tcPr>
          <w:p>
            <w:r>
              <w:t xml:space="preserve">915件/34.63%</w:t>
            </w:r>
          </w:p>
        </w:tc>
        <w:tc>
          <w:tcPr>
            <w:tcW w:w="2250" w:type="dxa"/>
          </w:tcPr>
          <w:p>
            <w:r>
              <w:t xml:space="preserve">838件/32.72%</w:t>
            </w:r>
          </w:p>
        </w:tc>
        <w:tc>
          <w:tcPr>
            <w:tcW w:w="2250" w:type="dxa"/>
          </w:tcPr>
          <w:p>
            <w:r>
              <w:t xml:space="preserve">743件/31.75%</w:t>
            </w:r>
          </w:p>
        </w:tc>
      </w:tr>
      <w:tr>
        <w:tc>
          <w:tcPr>
            <w:tcW w:w="2250" w:type="dxa"/>
          </w:tcPr>
          <w:p>
            <w:r>
              <w:t xml:space="preserve">其他</w:t>
            </w:r>
          </w:p>
        </w:tc>
        <w:tc>
          <w:tcPr>
            <w:tcW w:w="2250" w:type="dxa"/>
          </w:tcPr>
          <w:p>
            <w:r>
              <w:t xml:space="preserve">218件/8.25%</w:t>
            </w:r>
          </w:p>
        </w:tc>
        <w:tc>
          <w:tcPr>
            <w:tcW w:w="2250" w:type="dxa"/>
          </w:tcPr>
          <w:p>
            <w:r>
              <w:t xml:space="preserve">125件/4.88%</w:t>
            </w:r>
          </w:p>
        </w:tc>
        <w:tc>
          <w:tcPr>
            <w:tcW w:w="2250" w:type="dxa"/>
          </w:tcPr>
          <w:p>
            <w:r>
              <w:t xml:space="preserve">18件/0.77%</w:t>
            </w:r>
          </w:p>
        </w:tc>
      </w:tr>
      <w:tr>
        <w:tc>
          <w:tcPr>
            <w:tcW w:w="2250" w:type="dxa"/>
          </w:tcPr>
          <w:p>
            <w:r>
              <w:t xml:space="preserve">油画</w:t>
            </w:r>
          </w:p>
        </w:tc>
        <w:tc>
          <w:tcPr>
            <w:tcW w:w="2250" w:type="dxa"/>
          </w:tcPr>
          <w:p>
            <w:r>
              <w:t xml:space="preserve">106件/4.01%</w:t>
            </w:r>
          </w:p>
        </w:tc>
        <w:tc>
          <w:tcPr>
            <w:tcW w:w="2250" w:type="dxa"/>
          </w:tcPr>
          <w:p>
            <w:r>
              <w:t xml:space="preserve">6件/0.23%</w:t>
            </w:r>
          </w:p>
        </w:tc>
        <w:tc>
          <w:tcPr>
            <w:tcW w:w="2250" w:type="dxa"/>
          </w:tcPr>
          <w:p>
            <w:r>
              <w:t xml:space="preserve">106件/4.53%</w:t>
            </w:r>
          </w:p>
        </w:tc>
      </w:tr>
      <w:tr>
        <w:tc>
          <w:tcPr>
            <w:tcW w:w="2250" w:type="dxa"/>
          </w:tcPr>
          <w:p>
            <w:r>
              <w:t xml:space="preserve">西画</w:t>
            </w:r>
          </w:p>
        </w:tc>
        <w:tc>
          <w:tcPr>
            <w:tcW w:w="2250" w:type="dxa"/>
          </w:tcPr>
          <w:p>
            <w:r>
              <w:t xml:space="preserve">57件/2.16%</w:t>
            </w:r>
          </w:p>
        </w:tc>
        <w:tc>
          <w:tcPr>
            <w:tcW w:w="2250" w:type="dxa"/>
          </w:tcPr>
          <w:p>
            <w:r>
              <w:t xml:space="preserve">6件/0.23%</w:t>
            </w:r>
          </w:p>
        </w:tc>
        <w:tc>
          <w:tcPr>
            <w:tcW w:w="2250" w:type="dxa"/>
          </w:tcPr>
          <w:p>
            <w:r>
              <w:t xml:space="preserve">59件/2.52%</w:t>
            </w:r>
          </w:p>
        </w:tc>
      </w:tr>
      <w:tr>
        <w:tc>
          <w:tcPr>
            <w:tcW w:w="2250" w:type="dxa"/>
          </w:tcPr>
          <w:p>
            <w:r>
              <w:t xml:space="preserve">版画</w:t>
            </w:r>
          </w:p>
        </w:tc>
        <w:tc>
          <w:tcPr>
            <w:tcW w:w="2250" w:type="dxa"/>
          </w:tcPr>
          <w:p>
            <w:r>
              <w:t xml:space="preserve">4件/0.15%</w:t>
            </w:r>
          </w:p>
        </w:tc>
        <w:tc>
          <w:tcPr>
            <w:tcW w:w="2250" w:type="dxa"/>
          </w:tcPr>
          <w:p>
            <w:r>
              <w:t xml:space="preserve">6件/0.23%</w:t>
            </w:r>
          </w:p>
        </w:tc>
        <w:tc>
          <w:tcPr>
            <w:tcW w:w="2250" w:type="dxa"/>
          </w:tcPr>
          <w:p>
            <w:r>
              <w:t xml:space="preserve">5件/0.21%</w:t>
            </w:r>
          </w:p>
        </w:tc>
      </w:tr>
    </w:tbl>
    <w:p>
      <w:pPr>
        <w:pStyle w:val="ListNumber"/>
        <w:numPr>
          <w:ilvl w:val="0"/>
          <w:numId w:val="9"/>
        </w:numPr>
      </w:pPr>
      <w:r>
        <w:t xml:space="preserve">专场定位特征</w:t>
      </w:r>
    </w:p>
    <w:p>
      <w:pPr>
        <w:pStyle w:val="Normal"/>
      </w:pPr>
      <w:r>
        <w:t xml:space="preserve">核心定位：三场均以传统中国绘画+中国书法为绝对核心，合计占比超90%，坚守传统书画专场定位。 西方艺术：油画、西画、版画合计占比均不足8%，2025春拍西方艺术品类大幅收缩。</w:t>
      </w:r>
    </w:p>
    <w:p>
      <w:pPr>
        <w:pStyle w:val="ListNumber"/>
        <w:numPr>
          <w:ilvl w:val="0"/>
          <w:numId w:val="10"/>
        </w:numPr>
      </w:pPr>
      <w:r>
        <w:t xml:space="preserve">共性、个性、趋势</w:t>
      </w:r>
    </w:p>
    <w:p>
      <w:pPr>
        <w:pStyle w:val="Normal"/>
      </w:pPr>
      <w:r>
        <w:t xml:space="preserve">共性：传统书画为绝对主力，西方艺术品类占比极低，专场定位高度一致。 个性：2025春拍传统绘画占比最高、其他类占比最低；2025春拍油画、西画数量骤减。 趋势：专场持续聚焦传统书画，其他类拍品持续精简，西方艺术品类供给波动较大。</w:t>
      </w:r>
    </w:p>
    <w:p>
      <w:pPr>
        <w:pStyle w:val="Heading3"/>
      </w:pPr>
      <w:r>
        <w:t xml:space="preserve">（四）名家/作者价值（市场认可度核心）</w:t>
      </w:r>
    </w:p>
    <w:p>
      <w:pPr>
        <w:pStyle w:val="ListNumber"/>
        <w:numPr>
          <w:ilvl w:val="0"/>
          <w:numId w:val="11"/>
        </w:numPr>
      </w:pPr>
      <w:r>
        <w:t xml:space="preserve">上拍量TOP作者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color="auto" w:fill="D9E2F3"/>
          </w:tcPr>
          <w:p>
            <w:r>
              <w:rPr>
                <w:b/>
                <w:bCs/>
              </w:rPr>
              <w:t xml:space="preserve">拍卖场次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b/>
                <w:bCs/>
              </w:rPr>
              <w:t xml:space="preserve">TOP1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b/>
                <w:bCs/>
              </w:rPr>
              <w:t xml:space="preserve">TOP2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b/>
                <w:bCs/>
              </w:rPr>
              <w:t xml:space="preserve">TOP3</w:t>
            </w:r>
          </w:p>
        </w:tc>
      </w:tr>
      <w:tr>
        <w:tc>
          <w:tcPr>
            <w:tcW w:w="2250" w:type="dxa"/>
          </w:tcPr>
          <w:p>
            <w:r>
              <w:t xml:space="preserve">2024秋拍</w:t>
            </w:r>
          </w:p>
        </w:tc>
        <w:tc>
          <w:tcPr>
            <w:tcW w:w="2250" w:type="dxa"/>
          </w:tcPr>
          <w:p>
            <w:r>
              <w:t xml:space="preserve">张充和（72件）</w:t>
            </w:r>
          </w:p>
        </w:tc>
        <w:tc>
          <w:tcPr>
            <w:tcW w:w="2250" w:type="dxa"/>
          </w:tcPr>
          <w:p>
            <w:r>
              <w:t xml:space="preserve">吴昌硕（46件）</w:t>
            </w:r>
          </w:p>
        </w:tc>
        <w:tc>
          <w:tcPr>
            <w:tcW w:w="2250" w:type="dxa"/>
          </w:tcPr>
          <w:p>
            <w:r>
              <w:t xml:space="preserve">佚名（34件）</w:t>
            </w:r>
          </w:p>
        </w:tc>
      </w:tr>
      <w:tr>
        <w:tc>
          <w:tcPr>
            <w:tcW w:w="2250" w:type="dxa"/>
          </w:tcPr>
          <w:p>
            <w:r>
              <w:t xml:space="preserve">2025春拍</w:t>
            </w:r>
          </w:p>
        </w:tc>
        <w:tc>
          <w:tcPr>
            <w:tcW w:w="2250" w:type="dxa"/>
          </w:tcPr>
          <w:p>
            <w:r>
              <w:t xml:space="preserve">黄宾虹（52件）</w:t>
            </w:r>
          </w:p>
        </w:tc>
        <w:tc>
          <w:tcPr>
            <w:tcW w:w="2250" w:type="dxa"/>
          </w:tcPr>
          <w:p>
            <w:r>
              <w:t xml:space="preserve">佚名（41件）</w:t>
            </w:r>
          </w:p>
        </w:tc>
        <w:tc>
          <w:tcPr>
            <w:tcW w:w="2250" w:type="dxa"/>
          </w:tcPr>
          <w:p>
            <w:r>
              <w:t xml:space="preserve">黄永玉（33件）</w:t>
            </w:r>
          </w:p>
        </w:tc>
      </w:tr>
      <w:tr>
        <w:tc>
          <w:tcPr>
            <w:tcW w:w="2250" w:type="dxa"/>
          </w:tcPr>
          <w:p>
            <w:r>
              <w:t xml:space="preserve">2025秋拍</w:t>
            </w:r>
          </w:p>
        </w:tc>
        <w:tc>
          <w:tcPr>
            <w:tcW w:w="2250" w:type="dxa"/>
          </w:tcPr>
          <w:p>
            <w:r>
              <w:t xml:space="preserve">佚名（79件）</w:t>
            </w:r>
          </w:p>
        </w:tc>
        <w:tc>
          <w:tcPr>
            <w:tcW w:w="2250" w:type="dxa"/>
          </w:tcPr>
          <w:p>
            <w:r>
              <w:t xml:space="preserve">黄宾虹（44件）</w:t>
            </w:r>
          </w:p>
        </w:tc>
        <w:tc>
          <w:tcPr>
            <w:tcW w:w="2250" w:type="dxa"/>
          </w:tcPr>
          <w:p>
            <w:r>
              <w:t xml:space="preserve">王禔（40件）</w:t>
            </w:r>
          </w:p>
        </w:tc>
      </w:tr>
    </w:tbl>
    <w:p>
      <w:pPr>
        <w:pStyle w:val="ListNumber"/>
        <w:numPr>
          <w:ilvl w:val="0"/>
          <w:numId w:val="12"/>
        </w:numPr>
      </w:pPr>
      <w:r>
        <w:t xml:space="preserve">估价总额TOP作者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0"/>
        <w:gridCol w:w="4500"/>
      </w:tblGrid>
      <w:tr>
        <w:tc>
          <w:tcPr>
            <w:tcW w:w="4500" w:type="dxa"/>
            <w:shd w:val="clear" w:color="auto" w:fill="D9E2F3"/>
          </w:tcPr>
          <w:p>
            <w:r>
              <w:rPr>
                <w:b/>
                <w:bCs/>
              </w:rPr>
              <w:t xml:space="preserve">拍卖场次</w:t>
            </w:r>
          </w:p>
        </w:tc>
        <w:tc>
          <w:tcPr>
            <w:tcW w:w="4500" w:type="dxa"/>
            <w:shd w:val="clear" w:color="auto" w:fill="D9E2F3"/>
          </w:tcPr>
          <w:p>
            <w:r>
              <w:rPr>
                <w:b/>
                <w:bCs/>
              </w:rPr>
              <w:t xml:space="preserve">头部高价值名家</w:t>
            </w:r>
          </w:p>
        </w:tc>
      </w:tr>
      <w:tr>
        <w:tc>
          <w:tcPr>
            <w:tcW w:w="4500" w:type="dxa"/>
          </w:tcPr>
          <w:p>
            <w:r>
              <w:t xml:space="preserve">2024秋拍</w:t>
            </w:r>
          </w:p>
        </w:tc>
        <w:tc>
          <w:tcPr>
            <w:tcW w:w="4500" w:type="dxa"/>
          </w:tcPr>
          <w:p>
            <w:r>
              <w:t xml:space="preserve">吴昌硕、齐白石、张大千</w:t>
            </w:r>
          </w:p>
        </w:tc>
      </w:tr>
      <w:tr>
        <w:tc>
          <w:tcPr>
            <w:tcW w:w="4500" w:type="dxa"/>
          </w:tcPr>
          <w:p>
            <w:r>
              <w:t xml:space="preserve">2025春拍</w:t>
            </w:r>
          </w:p>
        </w:tc>
        <w:tc>
          <w:tcPr>
            <w:tcW w:w="4500" w:type="dxa"/>
          </w:tcPr>
          <w:p>
            <w:r>
              <w:t xml:space="preserve">黄宾虹、齐白石、吴昌硕</w:t>
            </w:r>
          </w:p>
        </w:tc>
      </w:tr>
      <w:tr>
        <w:tc>
          <w:tcPr>
            <w:tcW w:w="4500" w:type="dxa"/>
          </w:tcPr>
          <w:p>
            <w:r>
              <w:t xml:space="preserve">2025秋拍</w:t>
            </w:r>
          </w:p>
        </w:tc>
        <w:tc>
          <w:tcPr>
            <w:tcW w:w="4500" w:type="dxa"/>
          </w:tcPr>
          <w:p>
            <w:r>
              <w:t xml:space="preserve">黄宾虹、吴昌硕、陆俨少</w:t>
            </w:r>
          </w:p>
        </w:tc>
      </w:tr>
    </w:tbl>
    <w:p>
      <w:pPr>
        <w:pStyle w:val="ListNumber"/>
        <w:numPr>
          <w:ilvl w:val="0"/>
          <w:numId w:val="13"/>
        </w:numPr>
      </w:pPr>
      <w:r>
        <w:t xml:space="preserve">共性、个性、趋势</w:t>
      </w:r>
    </w:p>
    <w:p>
      <w:pPr>
        <w:pStyle w:val="Normal"/>
      </w:pPr>
      <w:r>
        <w:t xml:space="preserve">共性：黄宾虹、吴昌硕、佚名为三场核心名家，市场认可度稳定；近现代名家为价值主力。 个性：2024秋拍张充和上拍量独居榜首；2025秋拍佚名上拍量跃居第一。 趋势：名家格局保持稳定，黄宾虹市场地位持续提升，佚名作品上拍量逐步增加。</w:t>
      </w:r>
    </w:p>
    <w:p>
      <w:pPr>
        <w:pStyle w:val="Heading3"/>
      </w:pPr>
      <w:r>
        <w:t xml:space="preserve">（五）来源信息（流传有序核心）</w:t>
      </w:r>
    </w:p>
    <w:p>
      <w:pPr>
        <w:pStyle w:val="ListNumber"/>
        <w:numPr>
          <w:ilvl w:val="0"/>
          <w:numId w:val="14"/>
        </w:numPr>
      </w:pPr>
      <w:r>
        <w:t xml:space="preserve">来源分类统计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color="auto" w:fill="D9E2F3"/>
          </w:tcPr>
          <w:p>
            <w:r>
              <w:rPr>
                <w:b/>
                <w:bCs/>
              </w:rPr>
              <w:t xml:space="preserve">来源类别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b/>
                <w:bCs/>
              </w:rPr>
              <w:t xml:space="preserve">2024秋拍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b/>
                <w:bCs/>
              </w:rPr>
              <w:t xml:space="preserve">2025春拍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b/>
                <w:bCs/>
              </w:rPr>
              <w:t xml:space="preserve">2025秋拍</w:t>
            </w:r>
          </w:p>
        </w:tc>
      </w:tr>
      <w:tr>
        <w:tc>
          <w:tcPr>
            <w:tcW w:w="2250" w:type="dxa"/>
          </w:tcPr>
          <w:p>
            <w:r>
              <w:t xml:space="preserve">西泠既往上拍</w:t>
            </w:r>
          </w:p>
        </w:tc>
        <w:tc>
          <w:tcPr>
            <w:tcW w:w="2250" w:type="dxa"/>
          </w:tcPr>
          <w:p>
            <w:r>
              <w:t xml:space="preserve">10件/0.38%</w:t>
            </w:r>
          </w:p>
        </w:tc>
        <w:tc>
          <w:tcPr>
            <w:tcW w:w="2250" w:type="dxa"/>
          </w:tcPr>
          <w:p>
            <w:r>
              <w:t xml:space="preserve">18件/0.70%</w:t>
            </w:r>
          </w:p>
        </w:tc>
        <w:tc>
          <w:tcPr>
            <w:tcW w:w="2250" w:type="dxa"/>
          </w:tcPr>
          <w:p>
            <w:r>
              <w:t xml:space="preserve">21件/0.90%</w:t>
            </w:r>
          </w:p>
        </w:tc>
      </w:tr>
      <w:tr>
        <w:tc>
          <w:tcPr>
            <w:tcW w:w="2250" w:type="dxa"/>
          </w:tcPr>
          <w:p>
            <w:r>
              <w:t xml:space="preserve">海外拍卖公司</w:t>
            </w:r>
          </w:p>
        </w:tc>
        <w:tc>
          <w:tcPr>
            <w:tcW w:w="2250" w:type="dxa"/>
          </w:tcPr>
          <w:p>
            <w:r>
              <w:t xml:space="preserve">0件/0.00%</w:t>
            </w:r>
          </w:p>
        </w:tc>
        <w:tc>
          <w:tcPr>
            <w:tcW w:w="2250" w:type="dxa"/>
          </w:tcPr>
          <w:p>
            <w:r>
              <w:t xml:space="preserve">0件/0.00%</w:t>
            </w:r>
          </w:p>
        </w:tc>
        <w:tc>
          <w:tcPr>
            <w:tcW w:w="2250" w:type="dxa"/>
          </w:tcPr>
          <w:p>
            <w:r>
              <w:t xml:space="preserve">0件/0.00%</w:t>
            </w:r>
          </w:p>
        </w:tc>
      </w:tr>
      <w:tr>
        <w:tc>
          <w:tcPr>
            <w:tcW w:w="2250" w:type="dxa"/>
          </w:tcPr>
          <w:p>
            <w:r>
              <w:t xml:space="preserve">国内其他拍卖公司</w:t>
            </w:r>
          </w:p>
        </w:tc>
        <w:tc>
          <w:tcPr>
            <w:tcW w:w="2250" w:type="dxa"/>
          </w:tcPr>
          <w:p>
            <w:r>
              <w:t xml:space="preserve">0件/0.00%</w:t>
            </w:r>
          </w:p>
        </w:tc>
        <w:tc>
          <w:tcPr>
            <w:tcW w:w="2250" w:type="dxa"/>
          </w:tcPr>
          <w:p>
            <w:r>
              <w:t xml:space="preserve">1件/0.04%</w:t>
            </w:r>
          </w:p>
        </w:tc>
        <w:tc>
          <w:tcPr>
            <w:tcW w:w="2250" w:type="dxa"/>
          </w:tcPr>
          <w:p>
            <w:r>
              <w:t xml:space="preserve">0件/0.00%</w:t>
            </w:r>
          </w:p>
        </w:tc>
      </w:tr>
      <w:tr>
        <w:tc>
          <w:tcPr>
            <w:tcW w:w="2250" w:type="dxa"/>
          </w:tcPr>
          <w:p>
            <w:r>
              <w:t xml:space="preserve">文物商店</w:t>
            </w:r>
          </w:p>
        </w:tc>
        <w:tc>
          <w:tcPr>
            <w:tcW w:w="2250" w:type="dxa"/>
          </w:tcPr>
          <w:p>
            <w:r>
              <w:t xml:space="preserve">0件/0.00%</w:t>
            </w:r>
          </w:p>
        </w:tc>
        <w:tc>
          <w:tcPr>
            <w:tcW w:w="2250" w:type="dxa"/>
          </w:tcPr>
          <w:p>
            <w:r>
              <w:t xml:space="preserve">0件/0.00%</w:t>
            </w:r>
          </w:p>
        </w:tc>
        <w:tc>
          <w:tcPr>
            <w:tcW w:w="2250" w:type="dxa"/>
          </w:tcPr>
          <w:p>
            <w:r>
              <w:t xml:space="preserve">0件/0.00%</w:t>
            </w:r>
          </w:p>
        </w:tc>
      </w:tr>
      <w:tr>
        <w:tc>
          <w:tcPr>
            <w:tcW w:w="2250" w:type="dxa"/>
          </w:tcPr>
          <w:p>
            <w:r>
              <w:t xml:space="preserve">私人名家收藏</w:t>
            </w:r>
          </w:p>
        </w:tc>
        <w:tc>
          <w:tcPr>
            <w:tcW w:w="2250" w:type="dxa"/>
          </w:tcPr>
          <w:p>
            <w:r>
              <w:t xml:space="preserve">0件/0.00%</w:t>
            </w:r>
          </w:p>
        </w:tc>
        <w:tc>
          <w:tcPr>
            <w:tcW w:w="2250" w:type="dxa"/>
          </w:tcPr>
          <w:p>
            <w:r>
              <w:t xml:space="preserve">0件/0.00%</w:t>
            </w:r>
          </w:p>
        </w:tc>
        <w:tc>
          <w:tcPr>
            <w:tcW w:w="2250" w:type="dxa"/>
          </w:tcPr>
          <w:p>
            <w:r>
              <w:t xml:space="preserve">1件/0.04%</w:t>
            </w:r>
          </w:p>
        </w:tc>
      </w:tr>
      <w:tr>
        <w:tc>
          <w:tcPr>
            <w:tcW w:w="2250" w:type="dxa"/>
          </w:tcPr>
          <w:p>
            <w:r>
              <w:t xml:space="preserve">无明确来源</w:t>
            </w:r>
          </w:p>
        </w:tc>
        <w:tc>
          <w:tcPr>
            <w:tcW w:w="2250" w:type="dxa"/>
          </w:tcPr>
          <w:p>
            <w:r>
              <w:t xml:space="preserve">2632件/99.62%</w:t>
            </w:r>
          </w:p>
        </w:tc>
        <w:tc>
          <w:tcPr>
            <w:tcW w:w="2250" w:type="dxa"/>
          </w:tcPr>
          <w:p>
            <w:r>
              <w:t xml:space="preserve">2542件/99.26%</w:t>
            </w:r>
          </w:p>
        </w:tc>
        <w:tc>
          <w:tcPr>
            <w:tcW w:w="2250" w:type="dxa"/>
          </w:tcPr>
          <w:p>
            <w:r>
              <w:t xml:space="preserve">2318件/99.06%</w:t>
            </w:r>
          </w:p>
        </w:tc>
      </w:tr>
    </w:tbl>
    <w:p>
      <w:pPr>
        <w:pStyle w:val="ListNumber"/>
        <w:numPr>
          <w:ilvl w:val="0"/>
          <w:numId w:val="15"/>
        </w:numPr>
      </w:pPr>
      <w:r>
        <w:t xml:space="preserve">流传有序特征</w:t>
      </w:r>
    </w:p>
    <w:p>
      <w:pPr>
        <w:pStyle w:val="Normal"/>
      </w:pPr>
      <w:r>
        <w:t xml:space="preserve">来源缺失率：三场均超99%，来源信息极度匮乏。 可追溯来源：仅西泠既往上拍数量稳步小幅增长，其余渠道均无有效数据。</w:t>
      </w:r>
    </w:p>
    <w:p>
      <w:pPr>
        <w:pStyle w:val="ListNumber"/>
        <w:numPr>
          <w:ilvl w:val="0"/>
          <w:numId w:val="16"/>
        </w:numPr>
      </w:pPr>
      <w:r>
        <w:t xml:space="preserve">共性、个性、趋势</w:t>
      </w:r>
    </w:p>
    <w:p>
      <w:pPr>
        <w:pStyle w:val="Normal"/>
      </w:pPr>
      <w:r>
        <w:t xml:space="preserve">共性：来源标注高度单一，无明确来源占比均超99%，可追溯性极差。 个性：2025春拍、2025秋拍各出现1件非西泠国内拍卖、私人名家收藏来源。 趋势：无明确来源占比小幅下降，西泠既往上拍数量稳步提升，整体流传有序性略有改善。</w:t>
      </w:r>
    </w:p>
    <w:p>
      <w:pPr>
        <w:pStyle w:val="Heading2"/>
      </w:pPr>
      <w:r>
        <w:t xml:space="preserve">四、三场共性规律</w:t>
      </w:r>
    </w:p>
    <w:p>
      <w:pPr>
        <w:pStyle w:val="ListNumber"/>
        <w:numPr>
          <w:ilvl w:val="0"/>
          <w:numId w:val="17"/>
        </w:numPr>
      </w:pPr>
      <w:r>
        <w:t xml:space="preserve">供给结构稳定：近现代+清代为核心供给，占比超80%，高古作品持续稀缺。</w:t>
      </w:r>
    </w:p>
    <w:p>
      <w:pPr>
        <w:pStyle w:val="ListNumber"/>
        <w:numPr>
          <w:ilvl w:val="0"/>
          <w:numId w:val="17"/>
        </w:numPr>
      </w:pPr>
      <w:r>
        <w:t xml:space="preserve">价格结构一致：均为金字塔型，低端走量、高端锚定，千万级拍品占比均不足0.4%。</w:t>
      </w:r>
    </w:p>
    <w:p>
      <w:pPr>
        <w:pStyle w:val="ListNumber"/>
        <w:numPr>
          <w:ilvl w:val="0"/>
          <w:numId w:val="17"/>
        </w:numPr>
      </w:pPr>
      <w:r>
        <w:t xml:space="preserve">专场定位统一：以传统中国绘画、书法为绝对核心，西方艺术品类占比极低。</w:t>
      </w:r>
    </w:p>
    <w:p>
      <w:pPr>
        <w:pStyle w:val="ListNumber"/>
        <w:numPr>
          <w:ilvl w:val="0"/>
          <w:numId w:val="17"/>
        </w:numPr>
      </w:pPr>
      <w:r>
        <w:t xml:space="preserve">名家格局固化：黄宾虹、吴昌硕、佚名为核心名家，市场认可度稳定。</w:t>
      </w:r>
    </w:p>
    <w:p>
      <w:pPr>
        <w:pStyle w:val="ListNumber"/>
        <w:numPr>
          <w:ilvl w:val="0"/>
          <w:numId w:val="17"/>
        </w:numPr>
      </w:pPr>
      <w:r>
        <w:t xml:space="preserve">来源信息匮乏：无明确来源占比均超99%，仅西泠既往上拍有少量有效数据。</w:t>
      </w:r>
    </w:p>
    <w:p>
      <w:pPr>
        <w:pStyle w:val="ListNumber"/>
        <w:numPr>
          <w:ilvl w:val="0"/>
          <w:numId w:val="17"/>
        </w:numPr>
      </w:pPr>
      <w:r>
        <w:t xml:space="preserve">数据问题雷同：均存在标注不规范、录入错位、信息缺失、分类模糊四大问题。</w:t>
      </w:r>
    </w:p>
    <w:p>
      <w:pPr>
        <w:pStyle w:val="Heading2"/>
      </w:pPr>
      <w:r>
        <w:t xml:space="preserve">五、三场个性差异</w:t>
      </w:r>
    </w:p>
    <w:p>
      <w:pPr>
        <w:pStyle w:val="ListNumber"/>
        <w:numPr>
          <w:ilvl w:val="0"/>
          <w:numId w:val="18"/>
        </w:numPr>
      </w:pPr>
      <w:r>
        <w:t xml:space="preserve">2024秋拍：总规模最大；无底价拍品数量最多；徐渭作品创三场最高价；张充和上拍量独居榜首。</w:t>
      </w:r>
    </w:p>
    <w:p>
      <w:pPr>
        <w:pStyle w:val="ListNumber"/>
        <w:numPr>
          <w:ilvl w:val="0"/>
          <w:numId w:val="18"/>
        </w:numPr>
      </w:pPr>
      <w:r>
        <w:t xml:space="preserve">2025春拍：民国作品占比最高；传统绘画占比峰值；西方艺术品类大幅收缩；黄宾虹上拍量居首。</w:t>
      </w:r>
    </w:p>
    <w:p>
      <w:pPr>
        <w:pStyle w:val="ListNumber"/>
        <w:numPr>
          <w:ilvl w:val="0"/>
          <w:numId w:val="18"/>
        </w:numPr>
      </w:pPr>
      <w:r>
        <w:t xml:space="preserve">2025秋拍：总规模最小；无无底价拍品；其他类年代占比最高；佚名上拍量第一；油画、西画供给回升。</w:t>
      </w:r>
    </w:p>
    <w:p>
      <w:pPr>
        <w:pStyle w:val="Heading2"/>
      </w:pPr>
      <w:r>
        <w:t xml:space="preserve">六、市场发展趋势总结</w:t>
      </w:r>
    </w:p>
    <w:p>
      <w:pPr>
        <w:pStyle w:val="ListNumber"/>
        <w:numPr>
          <w:ilvl w:val="0"/>
          <w:numId w:val="19"/>
        </w:numPr>
      </w:pPr>
      <w:r>
        <w:t xml:space="preserve">供给趋势：拍品总规模小幅收缩，供给持续向近现代、清代集中，高古作品供给进一步缩减。</w:t>
      </w:r>
    </w:p>
    <w:p>
      <w:pPr>
        <w:pStyle w:val="ListNumber"/>
        <w:numPr>
          <w:ilvl w:val="0"/>
          <w:numId w:val="19"/>
        </w:numPr>
      </w:pPr>
      <w:r>
        <w:t xml:space="preserve">价格趋势：低端走量拍品占比扩大，千万级高端锚点拍品占比小幅提升，无底价拍品逐步退出。</w:t>
      </w:r>
    </w:p>
    <w:p>
      <w:pPr>
        <w:pStyle w:val="ListNumber"/>
        <w:numPr>
          <w:ilvl w:val="0"/>
          <w:numId w:val="19"/>
        </w:numPr>
      </w:pPr>
      <w:r>
        <w:t xml:space="preserve">品类趋势：传统书画核心地位持续强化，其他类拍品精简，西方艺术品类供给波动调整。</w:t>
      </w:r>
    </w:p>
    <w:p>
      <w:pPr>
        <w:pStyle w:val="ListNumber"/>
        <w:numPr>
          <w:ilvl w:val="0"/>
          <w:numId w:val="19"/>
        </w:numPr>
      </w:pPr>
      <w:r>
        <w:t xml:space="preserve">名家趋势：核心名家格局稳定，黄宾虹市场地位持续上升，佚名作品上拍量增加。</w:t>
      </w:r>
    </w:p>
    <w:p>
      <w:pPr>
        <w:pStyle w:val="ListNumber"/>
        <w:numPr>
          <w:ilvl w:val="0"/>
          <w:numId w:val="19"/>
        </w:numPr>
      </w:pPr>
      <w:r>
        <w:t xml:space="preserve">渠道趋势：来源信息缺失率小幅下降，西泠既往上拍可追溯来源稳步增长，整体流传有序性缓慢提升。</w:t>
      </w:r>
    </w:p>
    <w:p>
      <w:pPr>
        <w:pStyle w:val="Heading2"/>
      </w:pPr>
      <w:r>
        <w:t xml:space="preserve">七、全场次数据质量问题总览</w:t>
      </w:r>
    </w:p>
    <w:p>
      <w:pPr>
        <w:pStyle w:val="Heading3"/>
      </w:pPr>
      <w:r>
        <w:t xml:space="preserve">（一）标注不规范</w:t>
      </w:r>
    </w:p>
    <w:p>
      <w:pPr>
        <w:pStyle w:val="ListNumber"/>
        <w:numPr>
          <w:ilvl w:val="0"/>
          <w:numId w:val="20"/>
        </w:numPr>
      </w:pPr>
      <w:r>
        <w:t xml:space="preserve">年代标注格式混乱，朝代、具体年份、年代区间混用。</w:t>
      </w:r>
    </w:p>
    <w:p>
      <w:pPr>
        <w:pStyle w:val="ListNumber"/>
        <w:numPr>
          <w:ilvl w:val="0"/>
          <w:numId w:val="20"/>
        </w:numPr>
      </w:pPr>
      <w:r>
        <w:t xml:space="preserve">估价格式不统一，全角/半角冒号、前缀符号不一致。</w:t>
      </w:r>
    </w:p>
    <w:p>
      <w:pPr>
        <w:pStyle w:val="ListNumber"/>
        <w:numPr>
          <w:ilvl w:val="0"/>
          <w:numId w:val="20"/>
        </w:numPr>
      </w:pPr>
      <w:r>
        <w:t xml:space="preserve">材质、形式标注碎片化，非标准术语大量出现。</w:t>
      </w:r>
    </w:p>
    <w:p>
      <w:pPr>
        <w:pStyle w:val="ListNumber"/>
        <w:numPr>
          <w:ilvl w:val="0"/>
          <w:numId w:val="20"/>
        </w:numPr>
      </w:pPr>
      <w:r>
        <w:t xml:space="preserve">来源标注仅用"B"，无释义，格式不统一。</w:t>
      </w:r>
    </w:p>
    <w:p>
      <w:pPr>
        <w:pStyle w:val="Heading3"/>
      </w:pPr>
      <w:r>
        <w:t xml:space="preserve">（二）录入错误</w:t>
      </w:r>
    </w:p>
    <w:p>
      <w:pPr>
        <w:pStyle w:val="ListNumber"/>
        <w:numPr>
          <w:ilvl w:val="0"/>
          <w:numId w:val="21"/>
        </w:numPr>
      </w:pPr>
      <w:r>
        <w:t xml:space="preserve">年代列混入尺寸、形式等非年代信息，列错位严重。</w:t>
      </w:r>
    </w:p>
    <w:p>
      <w:pPr>
        <w:pStyle w:val="ListNumber"/>
        <w:numPr>
          <w:ilvl w:val="0"/>
          <w:numId w:val="21"/>
        </w:numPr>
      </w:pPr>
      <w:r>
        <w:t xml:space="preserve">估价高低价逻辑颠倒，年份标注明显不合理。</w:t>
      </w:r>
    </w:p>
    <w:p>
      <w:pPr>
        <w:pStyle w:val="ListNumber"/>
        <w:numPr>
          <w:ilvl w:val="0"/>
          <w:numId w:val="21"/>
        </w:numPr>
      </w:pPr>
      <w:r>
        <w:t xml:space="preserve">重复列、合并单元格导致数据读取异常。</w:t>
      </w:r>
    </w:p>
    <w:p>
      <w:pPr>
        <w:pStyle w:val="Heading3"/>
      </w:pPr>
      <w:r>
        <w:t xml:space="preserve">（三）信息缺失</w:t>
      </w:r>
    </w:p>
    <w:p>
      <w:pPr>
        <w:pStyle w:val="ListNumber"/>
        <w:numPr>
          <w:ilvl w:val="0"/>
          <w:numId w:val="22"/>
        </w:numPr>
      </w:pPr>
      <w:r>
        <w:t xml:space="preserve">来源信息缺失率超99%，备注栏利用率极低。</w:t>
      </w:r>
    </w:p>
    <w:p>
      <w:pPr>
        <w:pStyle w:val="ListNumber"/>
        <w:numPr>
          <w:ilvl w:val="0"/>
          <w:numId w:val="22"/>
        </w:numPr>
      </w:pPr>
      <w:r>
        <w:t xml:space="preserve">作者、估价、尺寸、备注等关键信息部分缺失。</w:t>
      </w:r>
    </w:p>
    <w:p>
      <w:pPr>
        <w:pStyle w:val="Heading3"/>
      </w:pPr>
      <w:r>
        <w:t xml:space="preserve">（四）分类模糊</w:t>
      </w:r>
    </w:p>
    <w:p>
      <w:pPr>
        <w:pStyle w:val="ListNumber"/>
        <w:numPr>
          <w:ilvl w:val="0"/>
          <w:numId w:val="23"/>
        </w:numPr>
      </w:pPr>
      <w:r>
        <w:t xml:space="preserve">跨年代描述（明末清初、清末民国）导致分类偏差。</w:t>
      </w:r>
    </w:p>
    <w:p>
      <w:pPr>
        <w:pStyle w:val="ListNumber"/>
        <w:numPr>
          <w:ilvl w:val="0"/>
          <w:numId w:val="23"/>
        </w:numPr>
      </w:pPr>
      <w:r>
        <w:t xml:space="preserve">书画合璧、复合作品分类边界不清，归类歧义。</w:t>
      </w:r>
    </w:p>
    <w:p>
      <w:pPr>
        <w:pStyle w:val="ListNumber"/>
        <w:numPr>
          <w:ilvl w:val="0"/>
          <w:numId w:val="23"/>
        </w:numPr>
      </w:pPr>
      <w:r>
        <w:t xml:space="preserve">材质、形式模糊标注导致分类困难，其他类扩容。</w:t>
      </w:r>
    </w:p>
    <w:sectPr>
      <w:pgSz w:w="12240" w:h="15840"/>
      <w:pgMar w:top="1440" w:right="1080" w:bottom="1440" w:left="1080" w:header="720" w:footer="720" w:gutter="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000002"/>
    <w:multiLevelType w:val="singleLevel"/>
    <w:tmpl w:val="000000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2"/>
    </w:lvlOverride>
  </w:num>
  <w:num w:numId="4">
    <w:abstractNumId w:val="1"/>
    <w:lvlOverride w:ilvl="0">
      <w:startOverride w:val="3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2"/>
    </w:lvlOverride>
  </w:num>
  <w:num w:numId="7">
    <w:abstractNumId w:val="1"/>
    <w:lvlOverride w:ilvl="0">
      <w:startOverride w:val="3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2"/>
    </w:lvlOverride>
  </w:num>
  <w:num w:numId="10">
    <w:abstractNumId w:val="1"/>
    <w:lvlOverride w:ilvl="0">
      <w:startOverride w:val="3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2"/>
    </w:lvlOverride>
  </w:num>
  <w:num w:numId="13">
    <w:abstractNumId w:val="1"/>
    <w:lvlOverride w:ilvl="0">
      <w:startOverride w:val="3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2"/>
    </w:lvlOverride>
  </w:num>
  <w:num w:numId="16">
    <w:abstractNumId w:val="1"/>
    <w:lvlOverride w:ilvl="0">
      <w:startOverride w:val="3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zoom w:val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Defaults>
    <w:rPrDefault>
      <w:rPr>
        <w:rFonts w:ascii="Calibri" w:hAnsi="Calibri" w:eastAsia="SimSun" w:cs="Times New Roman"/>
        <w:sz w:val="24"/>
        <w:szCs w:val="24"/>
        <w:lang w:val="en-US" w:eastAsia="zh-CN" w:bidi="ar-SA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pPr>
      <w:spacing w:after="160" w:line="276" w:lineRule="auto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Heading1">
    <w:name w:val="heading 1"/>
    <w:basedOn w:val="Normal"/>
    <w:next w:val="Normal"/>
    <w:uiPriority w:val="9"/>
    <w:qFormat/>
    <w:pPr>
      <w:outlineLvl w:val="0"/>
      <w:spacing w:before="480" w:after="160"/>
      <w:keepNext/>
    </w:pPr>
    <w:rPr>
      <w:rFonts w:ascii="Calibri" w:hAnsi="Calibri" w:eastAsia="SimHei"/>
      <w:b/>
      <w:bCs/>
      <w:sz w:val="40"/>
      <w:szCs w:val="40"/>
      <w:color w:val="1F3864"/>
    </w:rPr>
  </w:style>
  <w:style w:type="paragraph" w:styleId="Heading2">
    <w:name w:val="heading 2"/>
    <w:basedOn w:val="Normal"/>
    <w:next w:val="Normal"/>
    <w:uiPriority w:val="9"/>
    <w:qFormat/>
    <w:pPr>
      <w:outlineLvl w:val="1"/>
      <w:spacing w:before="360" w:after="120"/>
      <w:keepNext/>
    </w:pPr>
    <w:rPr>
      <w:rFonts w:ascii="Calibri" w:hAnsi="Calibri" w:eastAsia="SimHei"/>
      <w:b/>
      <w:bCs/>
      <w:sz w:val="32"/>
      <w:szCs w:val="32"/>
      <w:color w:val="2E74B5"/>
    </w:rPr>
  </w:style>
  <w:style w:type="paragraph" w:styleId="Heading3">
    <w:name w:val="heading 3"/>
    <w:basedOn w:val="Normal"/>
    <w:next w:val="Normal"/>
    <w:uiPriority w:val="9"/>
    <w:qFormat/>
    <w:pPr>
      <w:outlineLvl w:val="2"/>
      <w:spacing w:before="240" w:after="80"/>
      <w:keepNext/>
    </w:pPr>
    <w:rPr>
      <w:rFonts w:ascii="Calibri" w:hAnsi="Calibri" w:eastAsia="SimHei"/>
      <w:b/>
      <w:bCs/>
      <w:sz w:val="28"/>
      <w:szCs w:val="28"/>
      <w:color w:val="1F3864"/>
    </w:rPr>
  </w:style>
  <w:style w:type="paragraph" w:styleId="Heading4">
    <w:name w:val="heading 4"/>
    <w:basedOn w:val="Normal"/>
    <w:next w:val="Normal"/>
    <w:uiPriority w:val="9"/>
    <w:qFormat/>
    <w:pPr>
      <w:outlineLvl w:val="3"/>
      <w:spacing w:before="200" w:after="80"/>
      <w:keepNext/>
    </w:pPr>
    <w:rPr>
      <w:b/>
      <w:bCs/>
      <w:sz w:val="24"/>
      <w:szCs w:val="24"/>
      <w:color w:val="2E74B5"/>
      <w:i/>
      <w:iCs/>
    </w:rPr>
  </w:style>
  <w:style w:type="paragraph" w:styleId="Heading5">
    <w:name w:val="heading 5"/>
    <w:basedOn w:val="Normal"/>
    <w:next w:val="Normal"/>
    <w:uiPriority w:val="9"/>
    <w:qFormat/>
    <w:pPr>
      <w:outlineLvl w:val="4"/>
      <w:keepNext/>
    </w:pPr>
    <w:rPr>
      <w:b/>
      <w:bCs/>
      <w:sz w:val="22"/>
      <w:szCs w:val="22"/>
      <w:color w:val="2E74B5"/>
    </w:rPr>
  </w:style>
  <w:style w:type="paragraph" w:styleId="Heading6">
    <w:name w:val="heading 6"/>
    <w:basedOn w:val="Normal"/>
    <w:next w:val="Normal"/>
    <w:uiPriority w:val="9"/>
    <w:qFormat/>
    <w:pPr>
      <w:outlineLvl w:val="5"/>
      <w:keepNext/>
    </w:pPr>
    <w:rPr>
      <w:sz w:val="22"/>
      <w:szCs w:val="22"/>
      <w:color w:val="595959"/>
      <w:i/>
      <w:iCs/>
    </w:r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Quote">
    <w:name w:val="Quote"/>
    <w:basedOn w:val="Normal"/>
    <w:uiPriority w:val="29"/>
    <w:qFormat/>
    <w:pPr>
      <w:ind w:left="720"/>
      <w:spacing w:after="160"/>
    </w:pPr>
    <w:rPr>
      <w:i/>
      <w:iCs/>
      <w:color w:val="595959"/>
    </w:rPr>
  </w:style>
  <w:style w:type="table" w:styleId="TableGrid">
    <w:name w:val="Table Grid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   Target="styles.xml"/>
  <Relationship Id="rId2" Type="http://schemas.openxmlformats.org/officeDocument/2006/relationships/numbering" Target="numbering.xml"/>
  <Relationship Id="rId3s" Type="http://schemas.openxmlformats.org/officeDocument/2006/relationships/settings" Target="settings.xml"/>
  
</Relationships>
</file>