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Mangroves Pilot Fellowship 2021-22 Materials List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Texts: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ind w:left="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Anzaldua, Gloria. “La Concienta de La Mestiza: Toward a New Consciousness.”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Borderlands: The New Mestiza = La Frontera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1st ed., Spinsters/Aunt Lute, 1987, pp. 77–91.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Bellacasa, Maria Puig de la. “Coda.”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Matters of Care: Speculative Ethics in More Than Human Worlds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Univ Of Minnesota Press, 2017, pp. 217–21.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Cadena, De Marisol la, and Mario Blaser. “Introduction: Pluriverse Proposals for a World of Many Worlds.”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A World of Many Worlds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Illustrated, Duke University Press Books, 2018, pp. 1–22.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Cadena, De Marisol la, and Helen Verran. “Four: The Politics of Working Cosmologies Together While Keeping Them Separate.”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A World of Many Worlds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Illustrated, Duke University Press Books, 2018, pp. 112–30.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Cushing, Frank Hamilton. “Myths.”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Outlines of Zuni Creation Myths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Kessinger Publishing, 2010, pp. 379–87.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Fagan, Brian, and Nadia Durrani. “The Dawn of Everything: A New History?”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Reviews in Anthropology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vol. 50, no. 3–4, 2021, pp. 80–99.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Crossref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https://doi.org/10.1080/00938157.2022.2026612.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Giraud, Gaël. “The Commons, a Key Concept for the Future of Development.”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Ideas For Development: Sustainable Development News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Ideas For Development, 25 Sept. 2016, ideas4development.org/en/commons-development.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Graeber, David, and David Wengrow.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 Dawn of Everything: A New History of Humanity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 First Edition, Farrar, Straus and Giroux, 2021.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Jacobs, Jane. “Introduction.”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 Death and Life of Great American Cities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Reissue, Vintage, 1992, pp. 3–25.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Lawrence, Bruce.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Islamicate Cosmopolitan Spirit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 1st ed., Wiley-Blackwell, 2021, pp. 13-50. 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“Lily Yeh.”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UNCSA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interview by Pier Carlo Talenti, www.uncsa.edu/kenan/artist-as-leader/lily-yeh.aspx.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Logan, William Bryant. “Stardust,” “the First Soil.”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Dirt: The Ecstatic Skin of the Earth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Reprint, W. W. Norton and Company, 2007, pp. 7–13.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“Migrant Roots Media.”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Migrant Roots Media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www.migrantrootsmedia.org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Oxford Poverty &amp; Human Development Initiative (OPHI).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Bhutan’s Gross National Happiness Index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 | OPHI. ophi.org.uk/policy/bhutan-gnh-index.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Pimm, Stuart L., et al. “How to Protect Half of Earth to Ensure It Protects Sufficient Biodiversity.” </w:t>
      </w:r>
      <w:r w:rsidDel="00000000" w:rsidR="00000000" w:rsidRPr="00000000">
        <w:rPr>
          <w:rFonts w:ascii="Avenir" w:cs="Avenir" w:eastAsia="Avenir" w:hAnsi="Avenir"/>
          <w:i w:val="1"/>
          <w:highlight w:val="white"/>
          <w:rtl w:val="0"/>
        </w:rPr>
        <w:t xml:space="preserve">Science Advances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, vol. 4, no. 8, 2018. </w:t>
      </w:r>
      <w:r w:rsidDel="00000000" w:rsidR="00000000" w:rsidRPr="00000000">
        <w:rPr>
          <w:rFonts w:ascii="Avenir" w:cs="Avenir" w:eastAsia="Avenir" w:hAnsi="Avenir"/>
          <w:i w:val="1"/>
          <w:highlight w:val="white"/>
          <w:rtl w:val="0"/>
        </w:rPr>
        <w:t xml:space="preserve">Crossref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, https://doi.org/10.1126/sciadv.aat2616.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Pimm, Stuart L., and Clinton N. Jenkin. “Connecting Habitats to Prevent Species Extinctions.”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American Scientist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vol. 107, no. 3, 2019.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Crossref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https://doi.org/10.1511/2019.107.3.162.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Reiter, Bernd, and Walter d. Migonolo. “Foreword: On Pluriversality and Multipolarity,” “Introduction.”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Constructing the Pluriverse: The Geopolitics of Knowledge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Illustrated, Duke University Press Books, 2018, pp. ix–15.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Rosen, Robert. “The Schrödinger Question, What Is Life? Fifty-Five Years Later.”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Essays on Life Itself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1500th ed., Columbia University Press, 1999, pp. 5–32.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Schumacher Center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for a New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 Economics. “Enclosures of the Commons.”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Schumacher Center for New Economics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14 June 2021, centerforneweconomics.org/apply/the-commons-program/enclosures.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Soleri, Paolo, and Lissa McCullough. “Soleri: Architecture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as Evolutionary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 Quest.”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Conversations With Paolo Soleri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Princeton Architectural Press, 2012, pp. 9–65.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Walsh, Catherine, and Walter d. Migonolo. “Development as Buen Vivir: Institutional Arrangements and (De)Colonial Entanglements.”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Constructing the Pluriverse: The Geopolitics of Knowledge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Illustrated, Duke University Press Books, 2018, pp.184-194.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Wark, McKenzie. “Abstraction.”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A Hacker Manifesto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First Edition, Harvard University Press, 2004, pp. 13–20.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Ch. 1 (pp. 10-12) of Ibn Khaldun's Muqaddimah (Introduction/Prolegomena/Forward~Foreword/Avant-Propos, etc.) 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Escobar, Arturo.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Pluriversal Politics: The Real and the Possible (Latin America in Translation)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 Duke UP Books, 2020.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Idris, Solayman.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Sunrise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in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West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: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1"/>
        </w:rPr>
        <w:t xml:space="preserve">خروج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1"/>
        </w:rPr>
        <w:t xml:space="preserve">الشمس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1"/>
        </w:rPr>
        <w:t xml:space="preserve">مغربها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(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Times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of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Signs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Book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 1)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 Lumifont Scriptorium for Nafura Nawra Buruj Miraj Publishing, 2020.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venir" w:cs="Avenir" w:eastAsia="Avenir" w:hAnsi="Avenir"/>
          <w:b w:val="1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color w:val="222222"/>
          <w:highlight w:val="white"/>
          <w:rtl w:val="0"/>
        </w:rPr>
        <w:t xml:space="preserve">Creation Stories/Other Tales: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(unknown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Two Goddings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Yoruba Tales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Maya Creation Story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Inca Creation Story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Aztec Creation Story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Iranian and Egyptian 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