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Mangroves Pilot Fellowship 2022-23 Materials List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Texts: </w:t>
      </w:r>
    </w:p>
    <w:p w:rsidR="00000000" w:rsidDel="00000000" w:rsidP="00000000" w:rsidRDefault="00000000" w:rsidRPr="00000000" w14:paraId="00000004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Bregman, Rutger. “The Solution to (Nearly) Everything: Working Less.”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 Guardian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2021,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www.theguardian.com/commentisfree/2016/apr/18/solution-everything-working-less-work-pressure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Chakrabarti, Vishaan. “Building Hyperdensity and Civic Delight.”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Places - a Forum of Environmental Design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no. 2013, June 2013, doi:10.22269/130613.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Da Cunha, Dilip. “Introduction”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 Invention of Rivers: Alexander’s Eye and Ganga’s Descent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 Penn Studies in Landscape Arch,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Avenir" w:cs="Avenir" w:eastAsia="Avenir" w:hAnsi="Avenir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Desmond, Matthew. “The Eviction Epidemic.”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 New Yorker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 Feb. 2016,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www.newyorker.com/magazine/2016/02/08/forced-out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Dougherty, Conor. “California’s Housing Crisis: How a Bureaucrat Pushed to Build.”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The New York Times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16 Sept. 2021, www.nytimes.com/2020/02/13/business/economy/housing-crisis-conor-dougherty-golden-gates.html.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venir" w:cs="Avenir" w:eastAsia="Avenir" w:hAnsi="Avenir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Georgescu-Roegen, Nicholas. “The Steady State and Ecological Salvation: A Thermodynamic Analysis.”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BioScience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27, no. 4, 1977, pp. 266–70.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JSTOR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https://doi.org/10.2307/1297702. 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Giesen, James C. "The View from Rose Hill: Environmental, Architectural, and Cultural Recovery on a Piedmont Landscape."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Buildings &amp; Landscapes: Journal of the Vernacular Architecture Forum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27 no. 2, 2020, p. 19-38. Project MUSE, doi:10.5749/buildland.27.2.0019.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Heidegger, Martin. Building Dwelling Thinking. Translated by Adam Bobeck, 2021,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www.academia.edu/34279818/Building_Dwelling_Thinking_by_Martin_Heidegger_Translation_and_Commentary_by_Adam_Bobeck_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Humboldt, Alexander. “Introduction.”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Cosmos : A Sketch of a Physical Description of the Universe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Translated From the German, by E.C. Otté.  Harper and Brothers, 1860, babel.hathitrust.org/cgi/pt?id=hvd.32044024599714&amp;seq=1.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Illich, Ivan. “Tools for Conviviality.”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Internet Archive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1973, pp. 3-7, 101-117, archive.org/details/illich-conviviality/page/6/mode/2up.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Kahn, Susan. “Nagarjuna’s Seventy Verses on Emptiness.”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Emptiness Teachings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translated by Christian Lindtner, June 2022, emptinessteachings.com/2011/03/01/159.  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Keynes, John Maynard. “Economic Possibilities for Our Grandchildren.” 1930.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Essays in Persuasion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W.W. Norton and Co, 1963.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Kimmerer, Robin Wall. “Skywoman Falling.”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Braiding Sweetgrass: Indigenous Wisdom, Scientific Knowledge and the Teachings of Plants.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Penguin UK, 2020.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Kimmerer, Robin Wall.“Learning the Grammar of Animacy.”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Braiding Sweetgrass: Indigenous Wisdom, Scientific Knowledge and the Teachings of Plants.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Penguin UK, 2020.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Kimmerer, Robin Wall.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“Shkitagen</w:t>
      </w:r>
      <w:r w:rsidDel="00000000" w:rsidR="00000000" w:rsidRPr="00000000">
        <w:rPr>
          <w:rFonts w:ascii="Avenir" w:cs="Avenir" w:eastAsia="Avenir" w:hAnsi="Avenir"/>
          <w:rtl w:val="0"/>
        </w:rPr>
        <w:t xml:space="preserve">: People of the Seventh Fire.”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Braiding Sweetgrass: Indigenous Wisdom, Scientific Knowledge and the Teachings of Plants.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Penguin UK,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Kropotkin, Petr. “Introduction.”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Mutual Aid: A Factor of Evolution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1902, theanarchistlibrary.org/library/petr-kropotkin-mutual-aid-a-factor-of-evolution. </w:t>
      </w:r>
    </w:p>
    <w:p w:rsidR="00000000" w:rsidDel="00000000" w:rsidP="00000000" w:rsidRDefault="00000000" w:rsidRPr="00000000" w14:paraId="00000023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Kropotkin, Petr. “Chapter 9: Conclusion”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Mutual Aid: A Factor of Evolution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1902, theanarchistlibrary.org/library/petr-kropotkin-mutual-aid-a-factor-of-evolution.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rPr>
          <w:rFonts w:ascii="Avenir" w:cs="Avenir" w:eastAsia="Avenir" w:hAnsi="Avenir"/>
          <w:color w:val="232323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32323"/>
          <w:highlight w:val="white"/>
          <w:rtl w:val="0"/>
        </w:rPr>
        <w:t xml:space="preserve">Latouche, Serge. </w:t>
      </w:r>
      <w:r w:rsidDel="00000000" w:rsidR="00000000" w:rsidRPr="00000000">
        <w:rPr>
          <w:rFonts w:ascii="Avenir" w:cs="Avenir" w:eastAsia="Avenir" w:hAnsi="Avenir"/>
          <w:color w:val="232323"/>
          <w:highlight w:val="white"/>
          <w:rtl w:val="0"/>
        </w:rPr>
        <w:t xml:space="preserve">“Degrowth Economics.” </w:t>
      </w:r>
      <w:r w:rsidDel="00000000" w:rsidR="00000000" w:rsidRPr="00000000">
        <w:rPr>
          <w:rFonts w:ascii="Avenir" w:cs="Avenir" w:eastAsia="Avenir" w:hAnsi="Avenir"/>
          <w:i w:val="1"/>
          <w:color w:val="232323"/>
          <w:highlight w:val="white"/>
          <w:rtl w:val="0"/>
        </w:rPr>
        <w:t xml:space="preserve">Le Monde Diplomatique</w:t>
      </w:r>
      <w:r w:rsidDel="00000000" w:rsidR="00000000" w:rsidRPr="00000000">
        <w:rPr>
          <w:rFonts w:ascii="Avenir" w:cs="Avenir" w:eastAsia="Avenir" w:hAnsi="Avenir"/>
          <w:color w:val="232323"/>
          <w:highlight w:val="white"/>
          <w:rtl w:val="0"/>
        </w:rPr>
        <w:t xml:space="preserve">, 14 Nov. 2004, mondediplo.com/2004/11/14latouche. 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rPr>
          <w:rFonts w:ascii="Avenir" w:cs="Avenir" w:eastAsia="Avenir" w:hAnsi="Avenir"/>
          <w:color w:val="2323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76" w:lineRule="auto"/>
        <w:rPr>
          <w:rFonts w:ascii="Avenir" w:cs="Avenir" w:eastAsia="Avenir" w:hAnsi="Avenir"/>
          <w:color w:val="232323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32323"/>
          <w:highlight w:val="white"/>
          <w:rtl w:val="0"/>
        </w:rPr>
        <w:t xml:space="preserve">Lawrence, Bruce B. “‘ALL DISTINCTIONS ARE POLITICAL, ARTIFICIAL’: The Fuzzy Logic of M. F. Husain.” </w:t>
      </w:r>
      <w:r w:rsidDel="00000000" w:rsidR="00000000" w:rsidRPr="00000000">
        <w:rPr>
          <w:rFonts w:ascii="Avenir" w:cs="Avenir" w:eastAsia="Avenir" w:hAnsi="Avenir"/>
          <w:i w:val="1"/>
          <w:color w:val="232323"/>
          <w:highlight w:val="white"/>
          <w:rtl w:val="0"/>
        </w:rPr>
        <w:t xml:space="preserve">Common Knowledge</w:t>
      </w:r>
      <w:r w:rsidDel="00000000" w:rsidR="00000000" w:rsidRPr="00000000">
        <w:rPr>
          <w:rFonts w:ascii="Avenir" w:cs="Avenir" w:eastAsia="Avenir" w:hAnsi="Avenir"/>
          <w:color w:val="232323"/>
          <w:highlight w:val="white"/>
          <w:rtl w:val="0"/>
        </w:rPr>
        <w:t xml:space="preserve">, vol. 19, no. 2, Duke UP, Apr. 2013, pp. 269–74, doi:10.1215/0961754x-2073251.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Liu, An. “The Essential Huainanzi : Liu an : Free Download, Borrow, and Streaming : Internet Archive.” Internet Archive, 15 Feb. 2020, archive.org/details/theessentialhuainanziliuan/page/n117/mode/2up.  pp. 118-126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Marx, Karl. “Estranged Labour.”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Economic and Philosophical Manuscripts of 1844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www.marxists.org/archive/marx/works/1844/manuscripts/labour.htm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Oladosu, Adenike. “Climate, Poverty, Democracy: What Is at Stake in Nigeria’s 2023 Election?”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Wilson Center,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 2023,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www.wilsoncenter.org/blog-post/climate-poverty-democracy-what-is-at-stake-in-nigerias-2023-election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Richter, Daniel. “Game Changer in Soil Science. The Anthropocene in Soil Science and Pedology.”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Journal of Plant Nutrition and Soil Science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183, no. 1, Wiley, Sept. 2019, pp. 5–11, doi:10.1002/jpln.201900320.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Richter, Daniel, and Sharon A. Billings. “‘One Physical System’: Tansley’s Ecosystem as Earth’s Critical Zone.”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New Phytologist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206, no. 3, Wiley-Blackwell, Mar. 2015, pp. 900–12, doi:10.1111/nph.13338.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Richter, Daniel, and Sharon Billings. “Ansichten Der Calzone: Views From the Calhoun Critical Zone Observatory.”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Critical Zones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edited by Bruno Latour and Peter Weibel, 2020, dukespace.lib.duke.edu/dspace/handle/10161/21401. 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Smil, Vaclav. “Preface.” </w:t>
      </w:r>
      <w:r w:rsidDel="00000000" w:rsidR="00000000" w:rsidRPr="00000000">
        <w:rPr>
          <w:rFonts w:ascii="Avenir" w:cs="Avenir" w:eastAsia="Avenir" w:hAnsi="Avenir"/>
          <w:i w:val="1"/>
          <w:highlight w:val="white"/>
          <w:rtl w:val="0"/>
        </w:rPr>
        <w:t xml:space="preserve">Growth: from Microorganisms to Megacities.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 The MIT Press, 2019, pp. Vii-xxv.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Sulayman, Uludag. “Muqaddimah”. 2008. Khaldun, Ibn. 1377. Excerpts: 158-61, 164, 189, 199, 204-09, 213-16, 323-26, 333-35, 338-39, 349-51, 373-76, 388-94, 399-01, 417-21, 507-09, 549-51, 571-73, 629-31, 693-96, 765-70. </w:t>
      </w:r>
    </w:p>
    <w:p w:rsidR="00000000" w:rsidDel="00000000" w:rsidP="00000000" w:rsidRDefault="00000000" w:rsidRPr="00000000" w14:paraId="00000039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Weismantel, Mary J. “Moche Sex Pots: Reproduction and Temporality in Ancient South America.” </w:t>
      </w:r>
      <w:r w:rsidDel="00000000" w:rsidR="00000000" w:rsidRPr="00000000">
        <w:rPr>
          <w:rFonts w:ascii="Avenir" w:cs="Avenir" w:eastAsia="Avenir" w:hAnsi="Avenir"/>
          <w:i w:val="1"/>
          <w:color w:val="222222"/>
          <w:highlight w:val="white"/>
          <w:rtl w:val="0"/>
        </w:rPr>
        <w:t xml:space="preserve">American Anthropologist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, vol. 106, no. 3, American Anthropological Association, Sept. 2004, pp. 495–505, doi:10.1525/aa.2004.106.3.495. </w:t>
      </w:r>
    </w:p>
    <w:p w:rsidR="00000000" w:rsidDel="00000000" w:rsidP="00000000" w:rsidRDefault="00000000" w:rsidRPr="00000000" w14:paraId="0000003B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Williams, Raymond. “Ideas of Nature.”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 Problems in Materialism and Culture.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Verso, 1980 pp. 67- 85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Avenir" w:cs="Avenir" w:eastAsia="Avenir" w:hAnsi="Avenir"/>
          <w:b w:val="1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highlight w:val="white"/>
          <w:rtl w:val="0"/>
        </w:rPr>
        <w:t xml:space="preserve">AudioVisual Materials: </w:t>
      </w:r>
    </w:p>
    <w:p w:rsidR="00000000" w:rsidDel="00000000" w:rsidP="00000000" w:rsidRDefault="00000000" w:rsidRPr="00000000" w14:paraId="00000040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Baruch Spinoza. “Hildegard Von Bingen - Columba Aspexit.”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YouTube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6 Dec. 2014, </w:t>
      </w:r>
    </w:p>
    <w:p w:rsidR="00000000" w:rsidDel="00000000" w:rsidP="00000000" w:rsidRDefault="00000000" w:rsidRPr="00000000" w14:paraId="00000041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www.youtube.com/watch?v=BpmMeIQywYc</w:t>
      </w:r>
      <w:r w:rsidDel="00000000" w:rsidR="00000000" w:rsidRPr="00000000">
        <w:rPr>
          <w:rFonts w:ascii="Avenir" w:cs="Avenir" w:eastAsia="Avenir" w:hAnsi="Aveni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Bingen, Hildegard von. Scivias. 1151, Vision Eleven, www.columbia.edu/itc/english/f2003/client_edit/documents/scivias.html.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Avenir" w:cs="Avenir" w:eastAsia="Avenir" w:hAnsi="Aveni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Emmet, Jeff. “Mycopunk Futures: Mycelial Cyborg Economies.” </w:t>
      </w:r>
      <w:r w:rsidDel="00000000" w:rsidR="00000000" w:rsidRPr="00000000">
        <w:rPr>
          <w:rFonts w:ascii="Avenir" w:cs="Avenir" w:eastAsia="Avenir" w:hAnsi="Avenir"/>
          <w:i w:val="1"/>
          <w:highlight w:val="white"/>
          <w:rtl w:val="0"/>
        </w:rPr>
        <w:t xml:space="preserve">Team Human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, 15 Feb 2023 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https://www.teamhuman.fm/episodes/238-jeff-emmett</w:t>
      </w:r>
      <w:r w:rsidDel="00000000" w:rsidR="00000000" w:rsidRPr="00000000">
        <w:rPr>
          <w:rFonts w:ascii="Avenir" w:cs="Avenir" w:eastAsia="Avenir" w:hAnsi="Avenir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“Hildegard of Bingen - 18 Artworks - Illustration.”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www.wikiart.org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www.wikiart.org/en/hildegard-of-bingen</w:t>
      </w:r>
      <w:r w:rsidDel="00000000" w:rsidR="00000000" w:rsidRPr="00000000">
        <w:rPr>
          <w:rFonts w:ascii="Avenir" w:cs="Avenir" w:eastAsia="Avenir" w:hAnsi="Aveni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Mark Ye. “Multi Screen Projection - Animated Version of the Riverside Scene at Qingming</w:t>
      </w:r>
    </w:p>
    <w:p w:rsidR="00000000" w:rsidDel="00000000" w:rsidP="00000000" w:rsidRDefault="00000000" w:rsidRPr="00000000" w14:paraId="0000004A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Festival.”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YouTube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26 Aug. 2021,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www.youtube.com/watch?v=wqNQH8OfIXc</w:t>
      </w:r>
      <w:r w:rsidDel="00000000" w:rsidR="00000000" w:rsidRPr="00000000">
        <w:rPr>
          <w:rFonts w:ascii="Avenir" w:cs="Avenir" w:eastAsia="Avenir" w:hAnsi="Avenir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Michael S Glennon. “O Jerusalem Aurea Civitatis, Sequence to St Rupert.”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YouTube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3 July </w:t>
      </w:r>
    </w:p>
    <w:p w:rsidR="00000000" w:rsidDel="00000000" w:rsidP="00000000" w:rsidRDefault="00000000" w:rsidRPr="00000000" w14:paraId="0000004D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2017,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www.youtube.com/watch?v=lGONgSKMzSA</w:t>
      </w:r>
      <w:r w:rsidDel="00000000" w:rsidR="00000000" w:rsidRPr="00000000">
        <w:rPr>
          <w:rFonts w:ascii="Avenir" w:cs="Avenir" w:eastAsia="Avenir" w:hAnsi="Aveni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“Scivias Summary and Images.”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Healthy Hildegard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Apr. 2020, </w:t>
      </w:r>
    </w:p>
    <w:p w:rsidR="00000000" w:rsidDel="00000000" w:rsidP="00000000" w:rsidRDefault="00000000" w:rsidRPr="00000000" w14:paraId="00000050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www.healthyhildegard.com/scivias-illustrations</w:t>
      </w:r>
      <w:r w:rsidDel="00000000" w:rsidR="00000000" w:rsidRPr="00000000">
        <w:rPr>
          <w:rFonts w:ascii="Avenir" w:cs="Avenir" w:eastAsia="Avenir" w:hAnsi="Avenir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pBdr>
          <w:left w:color="auto" w:space="0" w:sz="0" w:val="none"/>
        </w:pBd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05103e"/>
          <w:rtl w:val="0"/>
        </w:rPr>
        <w:t xml:space="preserve">Songs from “V. Hildegard’s Symphonia Armonie Celestium Revelationum (‘Symphony of the Harmony of Heavenly Revelations’).” </w:t>
      </w:r>
      <w:r w:rsidDel="00000000" w:rsidR="00000000" w:rsidRPr="00000000">
        <w:rPr>
          <w:rFonts w:ascii="Avenir" w:cs="Avenir" w:eastAsia="Avenir" w:hAnsi="Avenir"/>
          <w:i w:val="1"/>
          <w:color w:val="05103e"/>
          <w:rtl w:val="0"/>
        </w:rPr>
        <w:t xml:space="preserve">Hildegard Society</w:t>
      </w:r>
      <w:r w:rsidDel="00000000" w:rsidR="00000000" w:rsidRPr="00000000">
        <w:rPr>
          <w:rFonts w:ascii="Avenir" w:cs="Avenir" w:eastAsia="Avenir" w:hAnsi="Avenir"/>
          <w:color w:val="05103e"/>
          <w:rtl w:val="0"/>
        </w:rPr>
        <w:t xml:space="preserve">, www.hildegard-society.org/p/music.html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pp. 4, 11, 15, 17-18, 26.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TED. “Vishaan Chakrabarti: A Vision of Sustainable Housing for All of Humanity | TED  </w:t>
      </w:r>
    </w:p>
    <w:p w:rsidR="00000000" w:rsidDel="00000000" w:rsidP="00000000" w:rsidRDefault="00000000" w:rsidRPr="00000000" w14:paraId="00000055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Countdown.”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YouTube</w:t>
      </w:r>
      <w:r w:rsidDel="00000000" w:rsidR="00000000" w:rsidRPr="00000000">
        <w:rPr>
          <w:rFonts w:ascii="Avenir" w:cs="Avenir" w:eastAsia="Avenir" w:hAnsi="Avenir"/>
          <w:rtl w:val="0"/>
        </w:rPr>
        <w:t xml:space="preserve">, 20 Feb. 2022, www.youtube.com/watch?v=B8kyrIQCFXQ. </w:t>
      </w:r>
    </w:p>
    <w:p w:rsidR="00000000" w:rsidDel="00000000" w:rsidP="00000000" w:rsidRDefault="00000000" w:rsidRPr="00000000" w14:paraId="00000056">
      <w:pPr>
        <w:pBdr>
          <w:left w:color="auto" w:space="0" w:sz="0" w:val="none"/>
        </w:pBd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Zeduan, Zhang. </w:t>
      </w: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Along the River During the Qingming Festival. </w:t>
      </w:r>
      <w:r w:rsidDel="00000000" w:rsidR="00000000" w:rsidRPr="00000000">
        <w:rPr>
          <w:rFonts w:ascii="Avenir" w:cs="Avenir" w:eastAsia="Avenir" w:hAnsi="Avenir"/>
          <w:rtl w:val="0"/>
        </w:rPr>
        <w:t xml:space="preserve">1085-1145, Palace Museum, Bejing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left w:color="auto" w:space="0" w:sz="0" w:val="none"/>
        </w:pBdr>
        <w:shd w:fill="ffffff" w:val="clear"/>
        <w:spacing w:line="276" w:lineRule="auto"/>
        <w:rPr>
          <w:rFonts w:ascii="Avenir" w:cs="Avenir" w:eastAsia="Avenir" w:hAnsi="Avenir"/>
          <w:b w:val="1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color w:val="222222"/>
          <w:highlight w:val="white"/>
          <w:rtl w:val="0"/>
        </w:rPr>
        <w:t xml:space="preserve">Fellow/Mangroves Materials: </w:t>
      </w:r>
    </w:p>
    <w:p w:rsidR="00000000" w:rsidDel="00000000" w:rsidP="00000000" w:rsidRDefault="00000000" w:rsidRPr="00000000" w14:paraId="0000005A">
      <w:pPr>
        <w:shd w:fill="ffffff" w:val="clear"/>
        <w:rPr>
          <w:rFonts w:ascii="Avenir" w:cs="Avenir" w:eastAsia="Avenir" w:hAnsi="Avenir"/>
          <w:b w:val="1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Escobar, Arturo et. al, “Relationality, Remaking and Restor(y)ing life.” 2022. [forthcoming]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Liu, David. “an Exegetico-poetic Translation of the Textus Receptus.” Laozi: “Dao De Jing.” [unpublished]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Liu, David. “A Translation from the Masoretic Text.” Ecclesiastes. [unpublished]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Liu, David and Rankin, Tom. “Preamble to Mobility Project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.” 2023. [unpublished]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Menghi, Adriana for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Mangroves, “Rome: 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the</w:t>
      </w: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 First Car Free Metropolis.” 2022. [unpublished]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Tamburrino, Antonio and Rankin, Thomas. “Rome Strategic Plan for Urban Mobility.” 2023. 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venir" w:cs="Avenir" w:eastAsia="Avenir" w:hAnsi="Avenir"/>
          <w:color w:val="222222"/>
          <w:highlight w:val="white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Tyalampi, Zolani Prince Shapiro “Growth, Birthright to all Things in Existence” and “Mama Africa” [unpublished]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2019</b:Year>
    <b:Pages>vii-xxv</b:Pages>
    <b:SourceType>BookSection</b:SourceType>
    <b:Title>Preface</b:Title>
    <b:BookTitle>Growth: from Microorganisms to Megacities.</b:BookTitle>
    <b:Publisher>The MIT Press</b:Publisher>
    <b:Gdcea>{"AccessedType":"Print"}</b:Gdcea>
    <b:Author>
      <b:BookAuthor>
        <b:NameList>
          <b:Person>
            <b:First>Vaclav</b:First>
            <b:Last>Smil</b:Last>
          </b:Person>
        </b:NameList>
      </b:Book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