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C3B4D"/>
          <w:sz w:val="38"/>
        </w:rPr>
        <w:t>SOWsmith Pipeline Construction — Statement of Work (Exemplar)</w:t>
      </w:r>
    </w:p>
    <w:p>
      <w:r>
        <w:rPr>
          <w:i/>
          <w:color w:val="5B727C"/>
          <w:sz w:val="21"/>
        </w:rPr>
        <w:t>SOWsmith · Bid Package · Supply Chain</w:t>
      </w:r>
    </w:p>
    <w:p>
      <w:pPr>
        <w:pBdr>
          <w:bottom w:val="single" w:sz="12" w:space="1" w:color="BD6015"/>
        </w:pBdr>
      </w:pP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F1F5F7"/>
          </w:tcPr>
          <w:p>
            <w:r>
              <w:rPr>
                <w:b/>
                <w:color w:val="0C3B4D"/>
                <w:sz w:val="19"/>
              </w:rPr>
              <w:t>Document ID</w:t>
            </w:r>
          </w:p>
        </w:tc>
        <w:tc>
          <w:tcPr>
            <w:tcW w:type="dxa" w:w="6480"/>
          </w:tcPr>
          <w:p>
            <w:r>
              <w:rPr>
                <w:sz w:val="19"/>
              </w:rPr>
              <w:t>BP-SOW-PLC-001</w:t>
            </w:r>
          </w:p>
        </w:tc>
      </w:tr>
      <w:tr>
        <w:tc>
          <w:tcPr>
            <w:tcW w:type="dxa" w:w="2592"/>
            <w:shd w:val="clear" w:color="auto" w:fill="F1F5F7"/>
          </w:tcPr>
          <w:p>
            <w:r>
              <w:rPr>
                <w:b/>
                <w:color w:val="0C3B4D"/>
                <w:sz w:val="19"/>
              </w:rPr>
              <w:t>Service type</w:t>
            </w:r>
          </w:p>
        </w:tc>
        <w:tc>
          <w:tcPr>
            <w:tcW w:type="dxa" w:w="6480"/>
          </w:tcPr>
          <w:p>
            <w:r>
              <w:rPr>
                <w:sz w:val="19"/>
              </w:rPr>
              <w:t>Pipeline Construction</w:t>
            </w:r>
          </w:p>
        </w:tc>
      </w:tr>
      <w:tr>
        <w:tc>
          <w:tcPr>
            <w:tcW w:type="dxa" w:w="2592"/>
            <w:shd w:val="clear" w:color="auto" w:fill="F1F5F7"/>
          </w:tcPr>
          <w:p>
            <w:r>
              <w:rPr>
                <w:b/>
                <w:color w:val="0C3B4D"/>
                <w:sz w:val="19"/>
              </w:rPr>
              <w:t>Document type</w:t>
            </w:r>
          </w:p>
        </w:tc>
        <w:tc>
          <w:tcPr>
            <w:tcW w:type="dxa" w:w="6480"/>
          </w:tcPr>
          <w:p>
            <w:r>
              <w:rPr>
                <w:sz w:val="19"/>
              </w:rPr>
              <w:t>SOW</w:t>
            </w:r>
          </w:p>
        </w:tc>
      </w:tr>
      <w:tr>
        <w:tc>
          <w:tcPr>
            <w:tcW w:type="dxa" w:w="2592"/>
            <w:shd w:val="clear" w:color="auto" w:fill="F1F5F7"/>
          </w:tcPr>
          <w:p>
            <w:r>
              <w:rPr>
                <w:b/>
                <w:color w:val="0C3B4D"/>
                <w:sz w:val="19"/>
              </w:rPr>
              <w:t>Version</w:t>
            </w:r>
          </w:p>
        </w:tc>
        <w:tc>
          <w:tcPr>
            <w:tcW w:type="dxa" w:w="6480"/>
          </w:tcPr>
          <w:p>
            <w:r>
              <w:rPr>
                <w:sz w:val="19"/>
              </w:rPr>
              <w:t>v2.1</w:t>
            </w:r>
          </w:p>
        </w:tc>
      </w:tr>
      <w:tr>
        <w:tc>
          <w:tcPr>
            <w:tcW w:type="dxa" w:w="2592"/>
            <w:shd w:val="clear" w:color="auto" w:fill="F1F5F7"/>
          </w:tcPr>
          <w:p>
            <w:r>
              <w:rPr>
                <w:b/>
                <w:color w:val="0C3B4D"/>
                <w:sz w:val="19"/>
              </w:rPr>
              <w:t>Effective date</w:t>
            </w:r>
          </w:p>
        </w:tc>
        <w:tc>
          <w:tcPr>
            <w:tcW w:type="dxa" w:w="6480"/>
          </w:tcPr>
          <w:p>
            <w:r>
              <w:rPr>
                <w:sz w:val="19"/>
              </w:rPr>
              <w:t>2026-01-15</w:t>
            </w:r>
          </w:p>
        </w:tc>
      </w:tr>
      <w:tr>
        <w:tc>
          <w:tcPr>
            <w:tcW w:type="dxa" w:w="2592"/>
            <w:shd w:val="clear" w:color="auto" w:fill="F1F5F7"/>
          </w:tcPr>
          <w:p>
            <w:r>
              <w:rPr>
                <w:b/>
                <w:color w:val="0C3B4D"/>
                <w:sz w:val="19"/>
              </w:rPr>
              <w:t>Owner</w:t>
            </w:r>
          </w:p>
        </w:tc>
        <w:tc>
          <w:tcPr>
            <w:tcW w:type="dxa" w:w="6480"/>
          </w:tcPr>
          <w:p>
            <w:r>
              <w:rPr>
                <w:sz w:val="19"/>
              </w:rPr>
              <w:t>Supply Chain</w:t>
            </w:r>
          </w:p>
        </w:tc>
      </w:tr>
      <w:tr>
        <w:tc>
          <w:tcPr>
            <w:tcW w:type="dxa" w:w="2592"/>
            <w:shd w:val="clear" w:color="auto" w:fill="F1F5F7"/>
          </w:tcPr>
          <w:p>
            <w:r>
              <w:rPr>
                <w:b/>
                <w:color w:val="0C3B4D"/>
                <w:sz w:val="19"/>
              </w:rPr>
              <w:t>Classification</w:t>
            </w:r>
          </w:p>
        </w:tc>
        <w:tc>
          <w:tcPr>
            <w:tcW w:type="dxa" w:w="6480"/>
          </w:tcPr>
          <w:p>
            <w:r>
              <w:rPr>
                <w:sz w:val="19"/>
              </w:rPr>
              <w:t>Internal</w:t>
            </w:r>
          </w:p>
        </w:tc>
      </w:tr>
      <w:tr>
        <w:tc>
          <w:tcPr>
            <w:tcW w:type="dxa" w:w="2592"/>
            <w:shd w:val="clear" w:color="auto" w:fill="F1F5F7"/>
          </w:tcPr>
          <w:p>
            <w:r>
              <w:rPr>
                <w:b/>
                <w:color w:val="0C3B4D"/>
                <w:sz w:val="19"/>
              </w:rPr>
              <w:t>Review status</w:t>
            </w:r>
          </w:p>
        </w:tc>
        <w:tc>
          <w:tcPr>
            <w:tcW w:type="dxa" w:w="6480"/>
          </w:tcPr>
          <w:p>
            <w:r>
              <w:rPr>
                <w:sz w:val="19"/>
              </w:rPr>
              <w:t>STANDARD REVIEW</w:t>
            </w:r>
          </w:p>
        </w:tc>
      </w:tr>
    </w:tbl>
    <w:p/>
    <w:p>
      <w:pPr>
        <w:pStyle w:val="Heading1"/>
      </w:pPr>
      <w:r>
        <w:rPr>
          <w:b/>
          <w:color w:val="0C3B4D"/>
          <w:sz w:val="26"/>
        </w:rPr>
        <w:t>1. PROJECT OVERVIEW</w:t>
      </w:r>
    </w:p>
    <w:p>
      <w:r>
        <w:t>Construction of a buried steel natural-gas pipeline segment, including all civil, mechanical, welding and testing activities required to deliver a complete, tested, and ready-to-commission line within the right-of-way.</w:t>
      </w:r>
    </w:p>
    <w:p>
      <w:pPr>
        <w:pStyle w:val="Heading1"/>
      </w:pPr>
      <w:r>
        <w:rPr>
          <w:b/>
          <w:color w:val="0C3B4D"/>
          <w:sz w:val="26"/>
        </w:rPr>
        <w:t>2. SCOPE OF WORK</w:t>
      </w:r>
    </w:p>
    <w:p>
      <w:pPr>
        <w:pStyle w:val="ListNumber"/>
      </w:pPr>
      <w:r>
        <w:t>The contractor shall clear and grade the right-of-way and establish access.</w:t>
      </w:r>
    </w:p>
    <w:p>
      <w:pPr>
        <w:pStyle w:val="ListNumber"/>
      </w:pPr>
      <w:r>
        <w:t>The contractor shall string, bend, and weld pipe to the referenced welding procedure specification.</w:t>
      </w:r>
    </w:p>
    <w:p>
      <w:pPr>
        <w:pStyle w:val="ListNumber"/>
      </w:pPr>
      <w:r>
        <w:t>The contractor shall perform non-destructive examination of welds per the project specification.</w:t>
      </w:r>
    </w:p>
    <w:p>
      <w:pPr>
        <w:pStyle w:val="ListNumber"/>
      </w:pPr>
      <w:r>
        <w:t>The contractor shall apply field joint coating and inspect for holidays before lowering-in.</w:t>
      </w:r>
    </w:p>
    <w:p>
      <w:pPr>
        <w:pStyle w:val="ListNumber"/>
      </w:pPr>
      <w:r>
        <w:t>The contractor shall trench, lower-in, and backfill to the specified depth of cover.</w:t>
      </w:r>
    </w:p>
    <w:p>
      <w:pPr>
        <w:pStyle w:val="ListNumber"/>
      </w:pPr>
      <w:r>
        <w:t>The contractor shall install pig launchers/receivers and tie-ins as shown on the drawings.</w:t>
      </w:r>
    </w:p>
    <w:p>
      <w:pPr>
        <w:pStyle w:val="ListNumber"/>
      </w:pPr>
      <w:r>
        <w:t>The contractor shall hydrotest the segment and provide signed test records before commissioning.</w:t>
      </w:r>
    </w:p>
    <w:p>
      <w:pPr>
        <w:pStyle w:val="Heading1"/>
      </w:pPr>
      <w:r>
        <w:rPr>
          <w:b/>
          <w:color w:val="0C3B4D"/>
          <w:sz w:val="26"/>
        </w:rPr>
        <w:t>3. EXCLUSIONS &amp; ASSUMPTIONS</w:t>
      </w:r>
    </w:p>
    <w:p>
      <w:pPr>
        <w:pStyle w:val="ListBullet"/>
      </w:pPr>
      <w:r>
        <w:t>Engineering and design, and permitting, are by others unless stated.</w:t>
      </w:r>
    </w:p>
    <w:p>
      <w:pPr>
        <w:pStyle w:val="ListBullet"/>
      </w:pPr>
      <w:r>
        <w:t>Material procurement of line pipe is by SOWsmith unless the bid documents state otherwise.</w:t>
      </w:r>
    </w:p>
    <w:p>
      <w:pPr>
        <w:pStyle w:val="ListBullet"/>
      </w:pPr>
      <w:r>
        <w:t>Final commissioning and gas-in is excluded from this scope.</w:t>
      </w:r>
    </w:p>
    <w:p>
      <w:pPr>
        <w:pStyle w:val="Heading1"/>
      </w:pPr>
      <w:r>
        <w:rPr>
          <w:b/>
          <w:color w:val="0C3B4D"/>
          <w:sz w:val="26"/>
        </w:rPr>
        <w:t>4. DELIVERABLES &amp; SCHEDULE</w:t>
      </w:r>
    </w:p>
    <w:p>
      <w:r>
        <w:t>The contractor shall deliver a complete, hydrotested pipeline segment with as-built drawings, weld maps, NDE reports, coating inspection records, and hydrotest documentation per the schedule below.</w:t>
      </w:r>
    </w:p>
    <w:p>
      <w:r>
        <w:rPr>
          <w:b/>
          <w:color w:val="0C3B4D"/>
          <w:sz w:val="20"/>
        </w:rPr>
        <w:t>Indicative milestones (durations confirmed at award):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AF0F3"/>
          </w:tcPr>
          <w:p>
            <w:r>
              <w:rPr>
                <w:b/>
                <w:sz w:val="18"/>
              </w:rPr>
              <w:t>Milestone</w:t>
            </w:r>
          </w:p>
        </w:tc>
        <w:tc>
          <w:tcPr>
            <w:tcW w:type="dxa" w:w="2880"/>
            <w:shd w:val="clear" w:color="auto" w:fill="EAF0F3"/>
          </w:tcPr>
          <w:p>
            <w:r>
              <w:rPr>
                <w:b/>
                <w:sz w:val="18"/>
              </w:rPr>
              <w:t>Deliverable</w:t>
            </w:r>
          </w:p>
        </w:tc>
        <w:tc>
          <w:tcPr>
            <w:tcW w:type="dxa" w:w="2880"/>
            <w:shd w:val="clear" w:color="auto" w:fill="EAF0F3"/>
          </w:tcPr>
          <w:p>
            <w:r>
              <w:rPr>
                <w:b/>
                <w:sz w:val="18"/>
              </w:rPr>
              <w:t>Timing</w:t>
            </w:r>
          </w:p>
        </w:tc>
      </w:tr>
      <w:tr>
        <w:tc>
          <w:tcPr>
            <w:tcW w:type="dxa" w:w="2880"/>
          </w:tcPr>
          <w:p>
            <w:r>
              <w:rPr>
                <w:sz w:val="18"/>
              </w:rPr>
              <w:t>Mobilization</w:t>
            </w:r>
          </w:p>
        </w:tc>
        <w:tc>
          <w:tcPr>
            <w:tcW w:type="dxa" w:w="2880"/>
          </w:tcPr>
          <w:p>
            <w:r>
              <w:rPr>
                <w:sz w:val="18"/>
              </w:rPr>
              <w:t>Crew and equipment on site</w:t>
            </w:r>
          </w:p>
        </w:tc>
        <w:tc>
          <w:tcPr>
            <w:tcW w:type="dxa" w:w="2880"/>
          </w:tcPr>
          <w:p>
            <w:r>
              <w:rPr>
                <w:sz w:val="18"/>
              </w:rPr>
              <w:t>Day 1</w:t>
            </w:r>
          </w:p>
        </w:tc>
      </w:tr>
      <w:tr>
        <w:tc>
          <w:tcPr>
            <w:tcW w:type="dxa" w:w="2880"/>
          </w:tcPr>
          <w:p>
            <w:r>
              <w:rPr>
                <w:sz w:val="18"/>
              </w:rPr>
              <w:t>Welding complete</w:t>
            </w:r>
          </w:p>
        </w:tc>
        <w:tc>
          <w:tcPr>
            <w:tcW w:type="dxa" w:w="2880"/>
          </w:tcPr>
          <w:p>
            <w:r>
              <w:rPr>
                <w:sz w:val="18"/>
              </w:rPr>
              <w:t>Weld map + NDE reports</w:t>
            </w:r>
          </w:p>
        </w:tc>
        <w:tc>
          <w:tcPr>
            <w:tcW w:type="dxa" w:w="2880"/>
          </w:tcPr>
          <w:p>
            <w:r>
              <w:rPr>
                <w:sz w:val="18"/>
              </w:rPr>
              <w:t>[TO CONFIRM]</w:t>
            </w:r>
          </w:p>
        </w:tc>
      </w:tr>
      <w:tr>
        <w:tc>
          <w:tcPr>
            <w:tcW w:type="dxa" w:w="2880"/>
          </w:tcPr>
          <w:p>
            <w:r>
              <w:rPr>
                <w:sz w:val="18"/>
              </w:rPr>
              <w:t>Lower-in &amp; backfill</w:t>
            </w:r>
          </w:p>
        </w:tc>
        <w:tc>
          <w:tcPr>
            <w:tcW w:type="dxa" w:w="2880"/>
          </w:tcPr>
          <w:p>
            <w:r>
              <w:rPr>
                <w:sz w:val="18"/>
              </w:rPr>
              <w:t>Depth-of-cover survey</w:t>
            </w:r>
          </w:p>
        </w:tc>
        <w:tc>
          <w:tcPr>
            <w:tcW w:type="dxa" w:w="2880"/>
          </w:tcPr>
          <w:p>
            <w:r>
              <w:rPr>
                <w:sz w:val="18"/>
              </w:rPr>
              <w:t>[TO CONFIRM]</w:t>
            </w:r>
          </w:p>
        </w:tc>
      </w:tr>
      <w:tr>
        <w:tc>
          <w:tcPr>
            <w:tcW w:type="dxa" w:w="2880"/>
          </w:tcPr>
          <w:p>
            <w:r>
              <w:rPr>
                <w:sz w:val="18"/>
              </w:rPr>
              <w:t>Hydrotest</w:t>
            </w:r>
          </w:p>
        </w:tc>
        <w:tc>
          <w:tcPr>
            <w:tcW w:type="dxa" w:w="2880"/>
          </w:tcPr>
          <w:p>
            <w:r>
              <w:rPr>
                <w:sz w:val="18"/>
              </w:rPr>
              <w:t>Signed test records</w:t>
            </w:r>
          </w:p>
        </w:tc>
        <w:tc>
          <w:tcPr>
            <w:tcW w:type="dxa" w:w="2880"/>
          </w:tcPr>
          <w:p>
            <w:r>
              <w:rPr>
                <w:sz w:val="18"/>
              </w:rPr>
              <w:t>[TO CONFIRM]</w:t>
            </w:r>
          </w:p>
        </w:tc>
      </w:tr>
    </w:tbl>
    <w:p/>
    <w:p>
      <w:pPr>
        <w:pStyle w:val="Heading1"/>
      </w:pPr>
      <w:r>
        <w:rPr>
          <w:b/>
          <w:color w:val="0C3B4D"/>
          <w:sz w:val="26"/>
        </w:rPr>
        <w:t>5. MATERIALS, EQUIPMENT &amp; SITE CONDITIONS</w:t>
      </w:r>
    </w:p>
    <w:p>
      <w:r>
        <w:t>SOWsmith supplies line pipe, valves and major fittings unless the bid documents state otherwise. The contractor supplies consumables, welding equipment, and construction spread. Site access, laydown, and operating conditions are as described in the project documents.</w:t>
      </w:r>
    </w:p>
    <w:p>
      <w:pPr>
        <w:pStyle w:val="Heading1"/>
      </w:pPr>
      <w:r>
        <w:rPr>
          <w:b/>
          <w:color w:val="0C3B4D"/>
          <w:sz w:val="26"/>
        </w:rPr>
        <w:t>6. SAFETY, QUALITY &amp; COMPLIANCE</w:t>
      </w:r>
    </w:p>
    <w:p>
      <w:r>
        <w:t>All work is performed under SOWsmith's safety-first program. The contractor complies with OSHA construction standards, applicable DOT and PHMSA requirements, the site-specific Job Safety Analysis, and all permit-to-work controls. Personal protective equipment is mandatory. Quality follows the referenced specifications and inspection/test plan.</w:t>
      </w:r>
    </w:p>
    <w:p>
      <w:pPr>
        <w:pStyle w:val="Heading1"/>
      </w:pPr>
      <w:r>
        <w:rPr>
          <w:b/>
          <w:color w:val="0C3B4D"/>
          <w:sz w:val="26"/>
        </w:rPr>
        <w:t>7. ACCEPTANCE &amp; REFERENCES</w:t>
      </w:r>
    </w:p>
    <w:p>
      <w:r>
        <w:t>Work is accepted upon successful hydrotest, completion of punch-list items, and submission of the complete records package. Acceptance follows the referenced standards:</w:t>
      </w:r>
    </w:p>
    <w:p>
      <w:pPr>
        <w:pStyle w:val="ListBullet"/>
      </w:pPr>
      <w:r>
        <w:t>SOWsmith Welding Services — Statement of Work</w:t>
      </w:r>
    </w:p>
    <w:p>
      <w:pPr>
        <w:pStyle w:val="ListBullet"/>
      </w:pPr>
      <w:r>
        <w:t>SOWsmith Hydrotesting &amp; Commissioning — Statement of Work</w:t>
      </w:r>
    </w:p>
    <w:p>
      <w:pPr>
        <w:pStyle w:val="ListBullet"/>
      </w:pPr>
      <w:r>
        <w:t>SOWsmith Standard Bid Clause Library</w:t>
      </w:r>
    </w:p>
    <w:p>
      <w:pPr>
        <w:pStyle w:val="ListBullet"/>
      </w:pPr>
      <w:r>
        <w:t>SOWsmith Bidder Instructions</w:t>
      </w:r>
    </w:p>
    <w:p/>
    <w:p>
      <w:pPr>
        <w:spacing w:after="0"/>
      </w:pPr>
      <w:r>
        <w:rPr>
          <w:rFonts w:ascii="Consolas" w:hAnsi="Consolas"/>
          <w:color w:val="5B727C"/>
          <w:sz w:val="19"/>
        </w:rPr>
        <w:t>---</w:t>
      </w:r>
    </w:p>
    <w:p>
      <w:pPr>
        <w:spacing w:after="0"/>
      </w:pPr>
      <w:r>
        <w:rPr>
          <w:rFonts w:ascii="Consolas" w:hAnsi="Consolas"/>
          <w:color w:val="5B727C"/>
          <w:sz w:val="19"/>
        </w:rPr>
        <w:t>VERSION: v2.1</w:t>
      </w:r>
    </w:p>
    <w:p>
      <w:pPr>
        <w:spacing w:after="0"/>
      </w:pPr>
      <w:r>
        <w:rPr>
          <w:rFonts w:ascii="Consolas" w:hAnsi="Consolas"/>
          <w:color w:val="5B727C"/>
          <w:sz w:val="19"/>
        </w:rPr>
        <w:t>DATE: 2026-01-15</w:t>
      </w:r>
    </w:p>
    <w:p>
      <w:pPr>
        <w:spacing w:after="0"/>
      </w:pPr>
      <w:r>
        <w:rPr>
          <w:rFonts w:ascii="Consolas" w:hAnsi="Consolas"/>
          <w:color w:val="5B727C"/>
          <w:sz w:val="19"/>
        </w:rPr>
        <w:t>SERVICE TYPE: Pipeline Construction</w:t>
      </w:r>
    </w:p>
    <w:p>
      <w:pPr>
        <w:spacing w:after="0"/>
      </w:pPr>
      <w:r>
        <w:rPr>
          <w:rFonts w:ascii="Consolas" w:hAnsi="Consolas"/>
          <w:color w:val="5B727C"/>
          <w:sz w:val="19"/>
        </w:rPr>
        <w:t>DOCUMENT TYPE: SOW</w:t>
      </w:r>
    </w:p>
    <w:p>
      <w:pPr>
        <w:spacing w:after="0"/>
      </w:pPr>
      <w:r>
        <w:rPr>
          <w:rFonts w:ascii="Consolas" w:hAnsi="Consolas"/>
          <w:color w:val="5B727C"/>
          <w:sz w:val="19"/>
        </w:rPr>
        <w:t>REVIEW STATUS: STANDARD REVIEW</w:t>
      </w:r>
    </w:p>
    <w:p>
      <w:pPr>
        <w:spacing w:after="0"/>
      </w:pPr>
      <w:r>
        <w:rPr>
          <w:rFonts w:ascii="Consolas" w:hAnsi="Consolas"/>
          <w:color w:val="5B727C"/>
          <w:sz w:val="19"/>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