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Pipeline Integrity &amp; Inspection — Statement of Work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BP-SOW-PI-009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Pipeline Integrity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v1.1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2025-08-15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In-line and field inspection (NDE) to assess pipeline integrity and support fitness-for-service.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perform the specified inspection and non-destructive examination methods.</w:t>
      </w:r>
    </w:p>
    <w:p>
      <w:pPr>
        <w:pStyle w:val="ListNumber"/>
      </w:pPr>
      <w:r>
        <w:t>The contractor shall locate, characterize, and report anomalies per the procedure.</w:t>
      </w:r>
    </w:p>
    <w:p>
      <w:pPr>
        <w:pStyle w:val="ListNumber"/>
      </w:pPr>
      <w:r>
        <w:t>The contractor shall provide calibrated equipment and qualified technicians.</w:t>
      </w:r>
    </w:p>
    <w:p>
      <w:pPr>
        <w:pStyle w:val="ListNumber"/>
      </w:pPr>
      <w:r>
        <w:t>The contractor shall deliver an inspection report with findings and data.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Work not expressly listed is excluded.</w:t>
      </w:r>
    </w:p>
    <w:p>
      <w:pPr>
        <w:pStyle w:val="ListBullet"/>
      </w:pPr>
      <w:r>
        <w:t>Engineering, permitting, and material supply are by others unless stated.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the completed work with the records and as-builts required by the referenced specifications.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Material and equipment supply is split between SOWsmith and the contractor as stated in the bid documents; site and access conditions are as provided.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completion, inspection, and documentation per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v1.1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2025-08-15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Pipeline Integrity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