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1022" w14:textId="77777777" w:rsidR="00E73973" w:rsidRDefault="009C46E0">
      <w:pPr>
        <w:pStyle w:val="a8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[</w:t>
      </w:r>
      <w:proofErr w:type="spellStart"/>
      <w:r>
        <w:rPr>
          <w:rFonts w:ascii="휴먼명조" w:eastAsia="휴먼명조" w:cs="휴먼명조"/>
        </w:rPr>
        <w:t>붙임</w:t>
      </w:r>
      <w:proofErr w:type="spellEnd"/>
      <w:r>
        <w:rPr>
          <w:rFonts w:ascii="휴먼명조" w:eastAsia="휴먼명조" w:cs="휴먼명조"/>
        </w:rPr>
        <w:t xml:space="preserve"> 6] </w:t>
      </w:r>
      <w:proofErr w:type="spellStart"/>
      <w:r>
        <w:rPr>
          <w:rFonts w:ascii="휴먼명조" w:eastAsia="휴먼명조" w:cs="휴먼명조"/>
        </w:rPr>
        <w:t>학술제</w:t>
      </w:r>
      <w:proofErr w:type="spellEnd"/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최종</w:t>
      </w:r>
      <w:proofErr w:type="spellEnd"/>
      <w:r>
        <w:rPr>
          <w:rFonts w:ascii="휴먼명조" w:eastAsia="휴먼명조" w:cs="휴먼명조"/>
        </w:rPr>
        <w:t xml:space="preserve"> </w:t>
      </w:r>
      <w:proofErr w:type="spellStart"/>
      <w:r>
        <w:rPr>
          <w:rFonts w:ascii="휴먼명조" w:eastAsia="휴먼명조" w:cs="휴먼명조"/>
        </w:rPr>
        <w:t>보고서</w:t>
      </w:r>
      <w:proofErr w:type="spellEnd"/>
    </w:p>
    <w:p w14:paraId="53BAD213" w14:textId="77777777" w:rsidR="00E73973" w:rsidRDefault="00000000">
      <w:pPr>
        <w:pStyle w:val="a8"/>
        <w:rPr>
          <w:b/>
          <w:bCs/>
        </w:rPr>
      </w:pPr>
      <w:r>
        <w:pict w14:anchorId="1FCF9528">
          <v:shape id="_x0000_s1150461534" o:spid="_x0000_s1028" alt="사각형입니다." style="position:absolute;left:0;text-align:left;margin-left:132.25pt;margin-top:92.15pt;width:404.1pt;height:25.6pt;z-index:2;mso-position-horizontal-relative:page;mso-position-vertical-relative:page;v-text-anchor:middle" coordsize="40412,2248" o:spt="100" adj="0,,0" path="m,l40412,r,2248l,2248xe" strokeweight="1.41pt">
            <v:stroke joinstyle="miter"/>
            <v:formulas/>
            <v:path o:connecttype="segments"/>
            <v:textbox inset="2.83pt,2.83pt,2.83pt,2.83pt">
              <w:txbxContent>
                <w:p w14:paraId="55E93267" w14:textId="77777777" w:rsidR="00E73973" w:rsidRDefault="009C46E0">
                  <w:pPr>
                    <w:pStyle w:val="a8"/>
                    <w:rPr>
                      <w:rFonts w:ascii="HY헤드라인M" w:eastAsia="HY헤드라인M" w:cs="HY헤드라인M"/>
                      <w:sz w:val="30"/>
                      <w:szCs w:val="30"/>
                    </w:rPr>
                  </w:pPr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>학술제</w:t>
                  </w:r>
                  <w:proofErr w:type="spellEnd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>최종</w:t>
                  </w:r>
                  <w:proofErr w:type="spellEnd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rFonts w:ascii="HY헤드라인M" w:eastAsia="HY헤드라인M" w:cs="HY헤드라인M"/>
                      <w:sz w:val="30"/>
                      <w:szCs w:val="30"/>
                    </w:rPr>
                    <w:t>연구보고서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pict w14:anchorId="7999D374">
          <v:shape id="_x0000_s1150461536" o:spid="_x0000_s1027" alt="사각형입니다." style="position:absolute;left:0;text-align:left;margin-left:57.9pt;margin-top:92.15pt;width:74.35pt;height:22pt;z-index:3;mso-position-horizontal-relative:page;mso-position-vertical-relative:page;v-text-anchor:middle" coordsize="7436,2201" o:spt="100" adj="0,,0" path="m,l7436,r,2201l,2201xe" fillcolor="#1c3d62" stroked="f">
            <v:stroke joinstyle="round"/>
            <v:formulas/>
            <v:path o:connecttype="segments"/>
            <v:textbox inset="2.83pt,2.83pt,2.83pt,2.83pt">
              <w:txbxContent>
                <w:p w14:paraId="16B0948F" w14:textId="77777777" w:rsidR="00E73973" w:rsidRDefault="009C46E0">
                  <w:pPr>
                    <w:pStyle w:val="a8"/>
                    <w:wordWrap/>
                    <w:jc w:val="center"/>
                    <w:rPr>
                      <w:rFonts w:ascii="HY헤드라인M" w:eastAsia="HY헤드라인M" w:cs="HY헤드라인M"/>
                      <w:color w:val="FFFFFF"/>
                      <w:sz w:val="30"/>
                      <w:szCs w:val="30"/>
                    </w:rPr>
                  </w:pPr>
                  <w:proofErr w:type="spellStart"/>
                  <w:r>
                    <w:rPr>
                      <w:rFonts w:ascii="HY헤드라인M" w:eastAsia="HY헤드라인M" w:cs="HY헤드라인M"/>
                      <w:color w:val="FFFFFF"/>
                      <w:sz w:val="30"/>
                      <w:szCs w:val="30"/>
                    </w:rPr>
                    <w:t>붙임</w:t>
                  </w:r>
                  <w:proofErr w:type="spellEnd"/>
                  <w:r>
                    <w:rPr>
                      <w:rFonts w:ascii="HY헤드라인M" w:eastAsia="HY헤드라인M" w:cs="HY헤드라인M"/>
                      <w:color w:val="FFFFFF"/>
                      <w:sz w:val="30"/>
                      <w:szCs w:val="30"/>
                    </w:rPr>
                    <w:t xml:space="preserve"> 6</w:t>
                  </w:r>
                </w:p>
              </w:txbxContent>
            </v:textbox>
            <w10:wrap anchorx="page" anchory="page"/>
          </v:shape>
        </w:pict>
      </w:r>
    </w:p>
    <w:p w14:paraId="411A080E" w14:textId="77777777" w:rsidR="00E73973" w:rsidRDefault="00E73973">
      <w:pPr>
        <w:pStyle w:val="a8"/>
        <w:rPr>
          <w:b/>
          <w:bCs/>
        </w:rPr>
      </w:pPr>
    </w:p>
    <w:p w14:paraId="1EB3E32B" w14:textId="77777777" w:rsidR="00E73973" w:rsidRDefault="00000000">
      <w:pPr>
        <w:pStyle w:val="a8"/>
        <w:rPr>
          <w:b/>
          <w:bCs/>
        </w:rPr>
      </w:pPr>
      <w:r>
        <w:pict w14:anchorId="6E882EC9">
          <v:shape id="_x0000_s1150461538" o:spid="_x0000_s1029" alt="사각형입니다." style="width:479.7pt;height:85.05pt;mso-left-percent:-10001;mso-top-percent:-10001;mso-position-horizontal:absolute;mso-position-horizontal-relative:char;mso-position-vertical:absolute;mso-position-vertical-relative:line;mso-left-percent:-10001;mso-top-percent:-10001;v-text-anchor:middle" coordsize="47969,8504" o:spt="100" adj="0,,0" path="m,l47969,r,8504l,8504xe" strokeweight=".33pt">
            <v:stroke joinstyle="miter"/>
            <v:formulas/>
            <v:path o:connecttype="segments"/>
            <v:textbox inset="2.83pt,2.83pt,2.83pt,2.83pt">
              <w:txbxContent>
                <w:p w14:paraId="25452AC0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①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본 보고서 작성 시 글씨체는 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‘</w:t>
                  </w:r>
                  <w:proofErr w:type="spellStart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휴면명조</w:t>
                  </w:r>
                  <w:proofErr w:type="spellEnd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10pt' 로 고정</w:t>
                  </w:r>
                </w:p>
                <w:p w14:paraId="6985C1F8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②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튜터</w:t>
                  </w:r>
                  <w:proofErr w:type="spellEnd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인적사항은 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‘</w:t>
                  </w:r>
                  <w:proofErr w:type="spellStart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신청팀</w:t>
                  </w:r>
                  <w:proofErr w:type="spellEnd"/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인적사항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’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기입란 내 파란색 행에 작성</w:t>
                  </w:r>
                </w:p>
                <w:p w14:paraId="4B6F261A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③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제공된 형식 내에서 최대 7페이지까지 작성 필수</w:t>
                  </w:r>
                </w:p>
                <w:p w14:paraId="02159994" w14:textId="77777777" w:rsidR="00E73973" w:rsidRDefault="009C46E0">
                  <w:pPr>
                    <w:pStyle w:val="a8"/>
                    <w:ind w:left="400"/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</w:pP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>④</w:t>
                  </w:r>
                  <w:r>
                    <w:rPr>
                      <w:rFonts w:ascii="휴먼명조" w:eastAsia="휴먼명조" w:cs="휴먼명조"/>
                      <w:sz w:val="18"/>
                      <w:szCs w:val="18"/>
                      <w:lang w:eastAsia="ko-KR"/>
                    </w:rPr>
                    <w:t xml:space="preserve"> 만일 연구에 사용된 데이터나 결과 추이가 있다면 그래프로 가시화한 후 보고서 내에 첨부 요망</w:t>
                  </w:r>
                </w:p>
              </w:txbxContent>
            </v:textbox>
          </v:shape>
        </w:pict>
      </w:r>
    </w:p>
    <w:p w14:paraId="761EB98A" w14:textId="77777777" w:rsidR="00E73973" w:rsidRDefault="00E73973">
      <w:pPr>
        <w:pStyle w:val="a8"/>
        <w:rPr>
          <w:b/>
          <w:bCs/>
        </w:rPr>
      </w:pPr>
    </w:p>
    <w:tbl>
      <w:tblPr>
        <w:tblW w:w="0" w:type="auto"/>
        <w:tblBorders>
          <w:top w:val="single" w:sz="11" w:space="0" w:color="000000"/>
          <w:left w:val="single" w:sz="11" w:space="0" w:color="000000"/>
          <w:bottom w:val="single" w:sz="11" w:space="0" w:color="000000"/>
          <w:right w:val="single" w:sz="11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2046"/>
        <w:gridCol w:w="1155"/>
        <w:gridCol w:w="1255"/>
        <w:gridCol w:w="1337"/>
        <w:gridCol w:w="1798"/>
        <w:gridCol w:w="1993"/>
      </w:tblGrid>
      <w:tr w:rsidR="00E73973" w14:paraId="6ADB209B" w14:textId="77777777">
        <w:trPr>
          <w:trHeight w:val="517"/>
        </w:trPr>
        <w:tc>
          <w:tcPr>
            <w:tcW w:w="9584" w:type="dxa"/>
            <w:gridSpan w:val="6"/>
            <w:tcBorders>
              <w:top w:val="single" w:sz="11" w:space="0" w:color="000000"/>
              <w:left w:val="single" w:sz="11" w:space="0" w:color="000000"/>
              <w:bottom w:val="double" w:sz="11" w:space="0" w:color="000000"/>
              <w:right w:val="single" w:sz="11" w:space="0" w:color="000000"/>
              <w:tl2br w:val="nil"/>
              <w:tr2bl w:val="nil"/>
            </w:tcBorders>
            <w:shd w:val="clear" w:color="auto" w:fill="18304B"/>
            <w:vAlign w:val="center"/>
          </w:tcPr>
          <w:p w14:paraId="13C0E9EF" w14:textId="77777777" w:rsidR="00E73973" w:rsidRDefault="009C46E0">
            <w:pPr>
              <w:pStyle w:val="TableParagraph"/>
              <w:snapToGrid w:val="0"/>
              <w:spacing w:line="374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</w:pPr>
            <w:r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  <w:t xml:space="preserve">2026 C.O.R.E. </w:t>
            </w:r>
            <w:proofErr w:type="spellStart"/>
            <w:r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  <w:t>학술제</w:t>
            </w:r>
            <w:proofErr w:type="spellEnd"/>
            <w:r>
              <w:rPr>
                <w:rFonts w:ascii="휴먼명조" w:eastAsia="휴먼명조" w:cs="휴먼명조"/>
                <w:b/>
                <w:bCs/>
                <w:color w:val="FFFFFF"/>
                <w:sz w:val="30"/>
                <w:szCs w:val="30"/>
                <w:lang w:eastAsia="ko-KR"/>
              </w:rPr>
              <w:t xml:space="preserve"> 최종 연구보고서</w:t>
            </w:r>
          </w:p>
        </w:tc>
      </w:tr>
      <w:tr w:rsidR="00E73973" w14:paraId="4CA19A66" w14:textId="77777777">
        <w:trPr>
          <w:trHeight w:val="473"/>
        </w:trPr>
        <w:tc>
          <w:tcPr>
            <w:tcW w:w="2046" w:type="dxa"/>
            <w:tcBorders>
              <w:top w:val="doub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37ECFA5" w14:textId="77777777" w:rsidR="00E73973" w:rsidRDefault="009C46E0">
            <w:pPr>
              <w:pStyle w:val="TableParagraph"/>
              <w:tabs>
                <w:tab w:val="left" w:pos="1320"/>
              </w:tabs>
              <w:snapToGrid w:val="0"/>
              <w:spacing w:before="2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참가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7538" w:type="dxa"/>
            <w:gridSpan w:val="5"/>
            <w:tcBorders>
              <w:top w:val="doub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2F0D829" w14:textId="08487983" w:rsidR="00E73973" w:rsidRDefault="00200756">
            <w:pPr>
              <w:pStyle w:val="TableParagraph"/>
              <w:tabs>
                <w:tab w:val="left" w:pos="7110"/>
              </w:tabs>
              <w:snapToGrid w:val="0"/>
              <w:spacing w:before="2"/>
              <w:ind w:left="0" w:right="40"/>
              <w:jc w:val="center"/>
              <w:rPr>
                <w:rFonts w:ascii="휴먼명조" w:eastAsia="휴먼명조" w:cs="휴먼명조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상연</w:t>
            </w:r>
          </w:p>
        </w:tc>
      </w:tr>
      <w:tr w:rsidR="00E73973" w14:paraId="48F08DDD" w14:textId="77777777">
        <w:trPr>
          <w:trHeight w:val="490"/>
        </w:trPr>
        <w:tc>
          <w:tcPr>
            <w:tcW w:w="2046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AD1E68" w14:textId="77777777" w:rsidR="00E73973" w:rsidRDefault="009C46E0">
            <w:pPr>
              <w:pStyle w:val="TableParagraph"/>
              <w:tabs>
                <w:tab w:val="left" w:pos="1320"/>
              </w:tabs>
              <w:snapToGrid w:val="0"/>
              <w:spacing w:before="2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참가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소주제명</w:t>
            </w:r>
            <w:proofErr w:type="spellEnd"/>
          </w:p>
        </w:tc>
        <w:tc>
          <w:tcPr>
            <w:tcW w:w="753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02747671" w14:textId="7F250D6C" w:rsidR="00E73973" w:rsidRDefault="00E73973">
            <w:pPr>
              <w:pStyle w:val="TableParagraph"/>
              <w:tabs>
                <w:tab w:val="left" w:pos="7110"/>
              </w:tabs>
              <w:snapToGrid w:val="0"/>
              <w:spacing w:before="2"/>
              <w:ind w:left="0" w:right="40"/>
              <w:jc w:val="center"/>
              <w:rPr>
                <w:rFonts w:ascii="휴먼명조" w:eastAsia="휴먼명조" w:cs="휴먼명조" w:hint="eastAsia"/>
                <w:sz w:val="20"/>
                <w:szCs w:val="20"/>
                <w:lang w:eastAsia="ko-KR"/>
              </w:rPr>
            </w:pPr>
          </w:p>
        </w:tc>
      </w:tr>
      <w:tr w:rsidR="00E73973" w14:paraId="735CDA38" w14:textId="77777777">
        <w:trPr>
          <w:trHeight w:val="392"/>
        </w:trPr>
        <w:tc>
          <w:tcPr>
            <w:tcW w:w="2046" w:type="dxa"/>
            <w:vMerge w:val="restart"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7F35B2" w14:textId="77777777" w:rsidR="00E73973" w:rsidRDefault="009C46E0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신청팀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인적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사항</w:t>
            </w:r>
            <w:proofErr w:type="spellEnd"/>
          </w:p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3BD969" w14:textId="77777777" w:rsidR="00E73973" w:rsidRDefault="009C46E0">
            <w:pPr>
              <w:pStyle w:val="TableParagraph"/>
              <w:snapToGrid w:val="0"/>
              <w:spacing w:line="21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성명</w:t>
            </w:r>
            <w:proofErr w:type="spellEnd"/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91072A1" w14:textId="77777777" w:rsidR="00E73973" w:rsidRDefault="009C46E0">
            <w:pPr>
              <w:pStyle w:val="TableParagraph"/>
              <w:snapToGrid w:val="0"/>
              <w:spacing w:line="21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학번</w:t>
            </w:r>
            <w:proofErr w:type="spellEnd"/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0A4A07" w14:textId="77777777" w:rsidR="00E73973" w:rsidRDefault="009C46E0">
            <w:pPr>
              <w:pStyle w:val="TableParagraph"/>
              <w:snapToGrid w:val="0"/>
              <w:spacing w:line="21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생년월일</w:t>
            </w:r>
            <w:proofErr w:type="spellEnd"/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0C6C994" w14:textId="77777777" w:rsidR="00E73973" w:rsidRDefault="009C46E0">
            <w:pPr>
              <w:pStyle w:val="TableParagraph"/>
              <w:snapToGrid w:val="0"/>
              <w:spacing w:line="20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연락처</w:t>
            </w:r>
            <w:proofErr w:type="spellEnd"/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5302735" w14:textId="77777777" w:rsidR="00E73973" w:rsidRDefault="009C46E0">
            <w:pPr>
              <w:pStyle w:val="TableParagraph"/>
              <w:snapToGrid w:val="0"/>
              <w:spacing w:line="200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E-mail</w:t>
            </w:r>
          </w:p>
        </w:tc>
      </w:tr>
      <w:tr w:rsidR="00E73973" w14:paraId="6287116E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4C2C7880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179E8A" w14:textId="77777777" w:rsidR="00E73973" w:rsidRDefault="009C46E0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color w:val="0000FF"/>
                <w:sz w:val="18"/>
                <w:szCs w:val="18"/>
              </w:rPr>
            </w:pPr>
            <w:proofErr w:type="gramStart"/>
            <w:r>
              <w:rPr>
                <w:rFonts w:ascii="휴먼명조" w:eastAsia="휴먼명조" w:cs="휴먼명조"/>
                <w:color w:val="0000FF"/>
                <w:sz w:val="18"/>
                <w:szCs w:val="18"/>
              </w:rPr>
              <w:t>OOO(</w:t>
            </w:r>
            <w:proofErr w:type="spellStart"/>
            <w:proofErr w:type="gramEnd"/>
            <w:r>
              <w:rPr>
                <w:rFonts w:ascii="휴먼명조" w:eastAsia="휴먼명조" w:cs="휴먼명조"/>
                <w:color w:val="0000FF"/>
                <w:sz w:val="18"/>
                <w:szCs w:val="18"/>
              </w:rPr>
              <w:t>튜터</w:t>
            </w:r>
            <w:proofErr w:type="spellEnd"/>
            <w:r>
              <w:rPr>
                <w:rFonts w:ascii="휴먼명조" w:eastAsia="휴먼명조" w:cs="휴먼명조"/>
                <w:color w:val="0000FF"/>
                <w:sz w:val="18"/>
                <w:szCs w:val="18"/>
              </w:rPr>
              <w:t>)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229FE61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0010BED0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1D74D06F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256D05DF" w14:textId="77777777" w:rsidR="00E73973" w:rsidRDefault="00E73973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</w:p>
        </w:tc>
      </w:tr>
      <w:tr w:rsidR="00E73973" w14:paraId="366AF26F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72B4857F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2723F7E" w14:textId="19B56516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이준석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3FA7D0B" w14:textId="075DF620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20226497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B9BF8A4" w14:textId="0A998B23" w:rsidR="00E73973" w:rsidRPr="00200756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20020209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99EB021" w14:textId="66E035EF" w:rsidR="00E73973" w:rsidRPr="00200756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010-6678-5378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47D7A1E7" w14:textId="77E19ACA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 w:hint="eastAsia"/>
                <w:sz w:val="18"/>
                <w:szCs w:val="18"/>
                <w:lang w:eastAsia="ko-KR"/>
              </w:rPr>
            </w:pPr>
            <w:hyperlink r:id="rId5" w:history="1">
              <w:r w:rsidRPr="00F809CA">
                <w:rPr>
                  <w:rStyle w:val="a5"/>
                  <w:rFonts w:ascii="맑은 고딕" w:eastAsia="맑은 고딕" w:hAnsi="맑은 고딕" w:cs="맑은 고딕"/>
                  <w:sz w:val="18"/>
                  <w:szCs w:val="18"/>
                  <w:lang w:eastAsia="ko-KR"/>
                </w:rPr>
                <w:t>skyleejun@naver.com</w:t>
              </w:r>
            </w:hyperlink>
          </w:p>
        </w:tc>
      </w:tr>
      <w:tr w:rsidR="00E73973" w14:paraId="2E5B0E93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3FE36C28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2B92096" w14:textId="3C301967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김경은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23DD1A" w14:textId="61AD23D1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20245180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1E61AA4" w14:textId="3634A1A5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050529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98EA82" w14:textId="78EC9329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010-3756-3458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3C694A7A" w14:textId="0EB7071F" w:rsidR="00E73973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 w:hint="eastAsia"/>
                <w:sz w:val="18"/>
                <w:szCs w:val="18"/>
                <w:lang w:eastAsia="ko-KR"/>
              </w:rPr>
            </w:pPr>
            <w:hyperlink r:id="rId6" w:history="1">
              <w:r w:rsidRPr="00F809CA">
                <w:rPr>
                  <w:rStyle w:val="a5"/>
                  <w:rFonts w:ascii="맑은 고딕" w:eastAsia="맑은 고딕" w:hAnsi="맑은 고딕" w:cs="맑은 고딕"/>
                  <w:sz w:val="18"/>
                  <w:szCs w:val="18"/>
                  <w:lang w:eastAsia="ko-KR"/>
                </w:rPr>
                <w:t>Kgeester05@gmail.com</w:t>
              </w:r>
            </w:hyperlink>
          </w:p>
        </w:tc>
      </w:tr>
      <w:tr w:rsidR="00E73973" w14:paraId="013FE3DE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764AF896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52F94DE" w14:textId="5170B942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김나현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D6EE495" w14:textId="2A224C66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20245219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2442377" w14:textId="43F2E0A5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20030417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B113F1C" w14:textId="119A0FDB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010-8706-5717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4FAED576" w14:textId="3144D1E0" w:rsidR="00E73973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 w:hint="eastAsia"/>
                <w:sz w:val="18"/>
                <w:szCs w:val="18"/>
                <w:lang w:eastAsia="ko-KR"/>
              </w:rPr>
            </w:pPr>
            <w:hyperlink r:id="rId7" w:history="1">
              <w:r w:rsidRPr="00F809CA">
                <w:rPr>
                  <w:rStyle w:val="a5"/>
                  <w:rFonts w:ascii="맑은 고딕" w:eastAsia="맑은 고딕" w:hAnsi="맑은 고딕" w:cs="맑은 고딕"/>
                  <w:sz w:val="18"/>
                  <w:szCs w:val="18"/>
                  <w:lang w:eastAsia="ko-KR"/>
                </w:rPr>
                <w:t>ohgege@naver.com</w:t>
              </w:r>
            </w:hyperlink>
          </w:p>
        </w:tc>
      </w:tr>
      <w:tr w:rsidR="00E73973" w14:paraId="5DD17F4A" w14:textId="77777777">
        <w:trPr>
          <w:trHeight w:val="367"/>
        </w:trPr>
        <w:tc>
          <w:tcPr>
            <w:tcW w:w="2046" w:type="dxa"/>
            <w:vMerge/>
            <w:tcBorders>
              <w:top w:val="single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</w:tcPr>
          <w:p w14:paraId="0B156084" w14:textId="77777777" w:rsidR="00E73973" w:rsidRDefault="00E73973"/>
        </w:tc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E246984" w14:textId="6C852EE8" w:rsidR="00E73973" w:rsidRDefault="00200756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유서진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5F0CFD2" w14:textId="59C0BFCC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20252664</w:t>
            </w:r>
          </w:p>
        </w:tc>
        <w:tc>
          <w:tcPr>
            <w:tcW w:w="1337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2618BCC" w14:textId="17D9CAD7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061121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33CE926" w14:textId="1EB08317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r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  <w:t>010-9208-9443</w:t>
            </w:r>
          </w:p>
        </w:tc>
        <w:tc>
          <w:tcPr>
            <w:tcW w:w="199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2C9410D" w14:textId="6037FBC5" w:rsidR="00E73973" w:rsidRPr="00F30171" w:rsidRDefault="00F30171">
            <w:pPr>
              <w:pStyle w:val="TableParagraph"/>
              <w:snapToGrid w:val="0"/>
              <w:ind w:left="0"/>
              <w:jc w:val="center"/>
              <w:rPr>
                <w:rFonts w:ascii="휴먼명조" w:eastAsiaTheme="minorEastAsia" w:cs="휴먼명조" w:hint="eastAsia"/>
                <w:sz w:val="18"/>
                <w:szCs w:val="18"/>
                <w:lang w:eastAsia="ko-KR"/>
              </w:rPr>
            </w:pPr>
            <w:hyperlink r:id="rId8" w:history="1">
              <w:r w:rsidRPr="00F809CA">
                <w:rPr>
                  <w:rStyle w:val="a5"/>
                  <w:rFonts w:ascii="휴먼명조" w:eastAsiaTheme="minorEastAsia" w:cs="휴먼명조"/>
                  <w:sz w:val="18"/>
                  <w:szCs w:val="18"/>
                  <w:lang w:eastAsia="ko-KR"/>
                </w:rPr>
                <w:t>Yomi160928@naver.com</w:t>
              </w:r>
            </w:hyperlink>
          </w:p>
        </w:tc>
      </w:tr>
      <w:tr w:rsidR="00E73973" w14:paraId="75F86644" w14:textId="77777777">
        <w:trPr>
          <w:trHeight w:val="643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90D257B" w14:textId="77777777" w:rsidR="00E73973" w:rsidRDefault="009C46E0">
            <w:pPr>
              <w:pStyle w:val="TableParagraph"/>
              <w:snapToGrid w:val="0"/>
              <w:spacing w:before="119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연구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주제</w:t>
            </w:r>
            <w:proofErr w:type="spellEnd"/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43DFA637" w14:textId="081A949E" w:rsidR="00E73973" w:rsidRPr="00724DD0" w:rsidRDefault="00724DD0" w:rsidP="00724DD0">
            <w:pPr>
              <w:spacing w:after="40"/>
              <w:jc w:val="center"/>
              <w:rPr>
                <w:rFonts w:hint="eastAsia"/>
                <w:bCs/>
                <w:sz w:val="20"/>
                <w:szCs w:val="20"/>
                <w:lang w:eastAsia="ko-KR"/>
              </w:rPr>
            </w:pP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CO₂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포집을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위한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MTV-ZIF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의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전산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 xml:space="preserve"> </w:t>
            </w:r>
            <w:r w:rsidRPr="00724DD0">
              <w:rPr>
                <w:rFonts w:ascii="Times New Roman" w:eastAsia="맑은 고딕" w:hAnsi="Times New Roman"/>
                <w:bCs/>
                <w:sz w:val="20"/>
                <w:szCs w:val="20"/>
                <w:lang w:eastAsia="ko-KR"/>
              </w:rPr>
              <w:t>설계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; ZIF-69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를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eastAsia="맑은 고딕" w:hAnsi="Times New Roman" w:hint="eastAsia"/>
                <w:bCs/>
                <w:sz w:val="20"/>
                <w:szCs w:val="20"/>
                <w:lang w:eastAsia="ko-KR"/>
              </w:rPr>
              <w:t>중심으로</w:t>
            </w:r>
          </w:p>
        </w:tc>
      </w:tr>
      <w:tr w:rsidR="00E73973" w14:paraId="0B7329EC" w14:textId="77777777">
        <w:trPr>
          <w:trHeight w:val="1060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783A2F" w14:textId="77777777" w:rsidR="00E73973" w:rsidRDefault="009C46E0">
            <w:pPr>
              <w:pStyle w:val="TableParagraph"/>
              <w:snapToGrid w:val="0"/>
              <w:spacing w:line="329" w:lineRule="exact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주제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선정</w:t>
            </w:r>
            <w:proofErr w:type="spellEnd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휴먼명조" w:eastAsia="휴먼명조" w:cs="휴먼명조"/>
                <w:b/>
                <w:bCs/>
                <w:sz w:val="20"/>
                <w:szCs w:val="20"/>
              </w:rPr>
              <w:t>배경</w:t>
            </w:r>
            <w:proofErr w:type="spellEnd"/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005D041B" w14:textId="084B9711" w:rsidR="00E73973" w:rsidRPr="00AB2D74" w:rsidRDefault="00AB2D74" w:rsidP="00AB2D74">
            <w:pPr>
              <w:pStyle w:val="TableParagraph"/>
              <w:snapToGrid w:val="0"/>
              <w:ind w:left="0"/>
              <w:rPr>
                <w:rFonts w:ascii="휴먼명조" w:eastAsiaTheme="minorEastAsia" w:cs="휴먼명조" w:hint="eastAsia"/>
                <w:color w:val="000000" w:themeColor="text1"/>
                <w:sz w:val="20"/>
                <w:szCs w:val="20"/>
                <w:lang w:eastAsia="ko-KR"/>
              </w:rPr>
            </w:pP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산업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혁명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이후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화석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연료에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의존한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전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지구적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산업화는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대기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중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휴먼명조" w:hAnsi="Cambria Math" w:cs="휴먼명조"/>
                      <w:i/>
                      <w:color w:val="000000" w:themeColor="text1"/>
                      <w:sz w:val="20"/>
                      <w:szCs w:val="20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CO</m:t>
                  </m:r>
                </m:e>
                <m:sub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2</m:t>
                  </m:r>
                </m:sub>
              </m:sSub>
            </m:oMath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농도의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급격한</w:t>
            </w:r>
            <w:r w:rsidRPr="00AB2D74">
              <w:rPr>
                <w:rFonts w:ascii="휴먼명조" w:eastAsia="휴먼명조" w:cs="휴먼명조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AB2D74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상승래하였</w:t>
            </w:r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다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. 특히 AI의 발전과 이로 이어진 전력 수요의 폭등은 이러한 추세를 가속화할 것이며, 이에 CCUS를 위한 MOF, 그 중 ZIF를 기반으로 하여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>리간드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치환을 통한 </w:t>
            </w:r>
            <m:oMath>
              <m:sSub>
                <m:sSubPr>
                  <m:ctrlPr>
                    <w:rPr>
                      <w:rFonts w:ascii="Cambria Math" w:eastAsia="휴먼명조" w:hAnsi="Cambria Math" w:cs="휴먼명조"/>
                      <w:i/>
                      <w:color w:val="000000" w:themeColor="text1"/>
                      <w:sz w:val="20"/>
                      <w:szCs w:val="20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CO</m:t>
                  </m:r>
                </m:e>
                <m:sub>
                  <m:r>
                    <w:rPr>
                      <w:rFonts w:ascii="Cambria Math" w:eastAsia="휴먼명조" w:hAnsi="Cambria Math" w:cs="휴먼명조"/>
                      <w:color w:val="000000" w:themeColor="text1"/>
                      <w:sz w:val="20"/>
                      <w:szCs w:val="20"/>
                      <w:lang w:eastAsia="ko-KR"/>
                    </w:rPr>
                    <m:t>2</m:t>
                  </m:r>
                </m:sub>
              </m:sSub>
            </m:oMath>
            <w:r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포집을 연구하고자 한다.</w:t>
            </w:r>
          </w:p>
        </w:tc>
      </w:tr>
      <w:tr w:rsidR="00E73973" w14:paraId="268DA5D7" w14:textId="77777777">
        <w:trPr>
          <w:trHeight w:val="4113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dotted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1BF95B" w14:textId="77777777" w:rsidR="00E73973" w:rsidRPr="00200756" w:rsidRDefault="009C46E0">
            <w:pPr>
              <w:pStyle w:val="TableParagraph"/>
              <w:snapToGrid w:val="0"/>
              <w:spacing w:before="1"/>
              <w:ind w:left="0"/>
              <w:jc w:val="center"/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</w:pPr>
            <w:proofErr w:type="spellStart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lastRenderedPageBreak/>
              <w:t>연구</w:t>
            </w:r>
            <w:proofErr w:type="spellEnd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>결과</w:t>
            </w:r>
            <w:proofErr w:type="spellEnd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0756">
              <w:rPr>
                <w:rFonts w:asciiTheme="minorHAnsi" w:eastAsiaTheme="minorHAnsi" w:hAnsiTheme="minorHAnsi" w:cs="휴먼명조"/>
                <w:b/>
                <w:bCs/>
                <w:sz w:val="20"/>
                <w:szCs w:val="20"/>
              </w:rPr>
              <w:t>보고</w:t>
            </w:r>
            <w:proofErr w:type="spellEnd"/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3A586892" w14:textId="30764C78" w:rsidR="00200756" w:rsidRPr="00200756" w:rsidRDefault="00200756" w:rsidP="00AB2D74">
            <w:pPr>
              <w:pStyle w:val="TableParagraph"/>
              <w:snapToGrid w:val="0"/>
              <w:spacing w:line="240" w:lineRule="auto" w:after="40" w:before="0"/>
              <w:ind w:left="0"/>
              <w:jc w:val="both"/>
              <w:rPr>
                <w:rFonts w:asciiTheme="minorHAnsi" w:eastAsiaTheme="minorHAnsi" w:hAnsiTheme="minorHAnsi" w:cs="휴먼명조" w:hint="eastAsia"/>
                <w:sz w:val="20"/>
                <w:szCs w:val="20"/>
                <w:lang w:eastAsia="ko-KR"/>
              </w:rPr>
            </w:pPr>
            <w:r>
              <w:rPr>
                <w:rFonts w:ascii="휴먼명조" w:hAnsi="휴먼명조" w:eastAsia="휴먼명조"/>
                <w:b/>
                <w:sz w:val="21"/>
              </w:rPr>
              <w:t>목차</w:t>
            </w:r>
          </w:p>
          <w:p>
            <w:pPr>
              <w:spacing w:line="240" w:lineRule="auto" w:after="0" w:before="0"/>
              <w:jc w:val="both"/>
            </w:pPr>
            <w:r>
              <w:rPr>
                <w:rFonts w:ascii="휴먼명조" w:hAnsi="휴먼명조" w:eastAsia="휴먼명조"/>
                <w:b w:val="0"/>
                <w:sz w:val="19"/>
              </w:rPr>
              <w:t>1. 연구 질문과 평가 파이프라인의 설계</w:t>
            </w:r>
          </w:p>
          <w:p>
            <w:pPr>
              <w:spacing w:line="240" w:lineRule="auto" w:after="0" w:before="0"/>
              <w:jc w:val="both"/>
            </w:pPr>
            <w:r>
              <w:rPr>
                <w:rFonts w:ascii="휴먼명조" w:hAnsi="휴먼명조" w:eastAsia="휴먼명조"/>
                <w:b w:val="0"/>
                <w:sz w:val="19"/>
              </w:rPr>
              <w:t xml:space="preserve">   1.1 기초 설계: 설계와 방식      1.2 후보 리간드와 평가 단계</w:t>
            </w:r>
          </w:p>
          <w:p>
            <w:pPr>
              <w:spacing w:line="240" w:lineRule="auto" w:after="0" w:before="0"/>
              <w:jc w:val="both"/>
            </w:pPr>
            <w:r>
              <w:rPr>
                <w:rFonts w:ascii="휴먼명조" w:hAnsi="휴먼명조" w:eastAsia="휴먼명조"/>
                <w:b w:val="0"/>
                <w:sz w:val="19"/>
              </w:rPr>
              <w:t xml:space="preserve">   1.3 계산 구조                  1.4 구조의 선정</w:t>
            </w:r>
          </w:p>
          <w:p>
            <w:pPr>
              <w:spacing w:line="240" w:lineRule="auto" w:after="0" w:before="0"/>
              <w:jc w:val="both"/>
            </w:pPr>
            <w:r>
              <w:rPr>
                <w:rFonts w:ascii="휴먼명조" w:hAnsi="휴먼명조" w:eastAsia="휴먼명조"/>
                <w:b w:val="0"/>
                <w:sz w:val="19"/>
              </w:rPr>
              <w:t>2. 결과 보고</w:t>
            </w:r>
          </w:p>
          <w:p>
            <w:pPr>
              <w:spacing w:line="240" w:lineRule="auto" w:after="0" w:before="0"/>
              <w:jc w:val="both"/>
            </w:pPr>
            <w:r>
              <w:rPr>
                <w:rFonts w:ascii="휴먼명조" w:hAnsi="휴먼명조" w:eastAsia="휴먼명조"/>
                <w:b w:val="0"/>
                <w:sz w:val="19"/>
              </w:rPr>
              <w:t xml:space="preserve">   2.1 모체 변화                  2.2 습윤 조건 하에서의 선택도</w:t>
            </w:r>
          </w:p>
          <w:p>
            <w:pPr>
              <w:spacing w:line="240" w:lineRule="auto" w:after="0" w:before="0"/>
              <w:jc w:val="both"/>
            </w:pPr>
            <w:r>
              <w:rPr>
                <w:rFonts w:ascii="휴먼명조" w:hAnsi="휴먼명조" w:eastAsia="휴먼명조"/>
                <w:b w:val="0"/>
                <w:sz w:val="19"/>
              </w:rPr>
              <w:t xml:space="preserve">   2.3 단일 치환 – 혼합 치환기 간 비교</w:t>
            </w:r>
          </w:p>
          <w:p>
            <w:pPr>
              <w:spacing w:line="240" w:lineRule="auto" w:after="0" w:before="0"/>
              <w:jc w:val="both"/>
            </w:pPr>
            <w:r>
              <w:rPr>
                <w:rFonts w:ascii="휴먼명조" w:hAnsi="휴먼명조" w:eastAsia="휴먼명조"/>
                <w:b w:val="0"/>
                <w:sz w:val="19"/>
              </w:rPr>
              <w:t>3. 종합 결론</w:t>
            </w:r>
          </w:p>
          <w:p>
            <w:pPr>
              <w:spacing w:line="240" w:lineRule="auto" w:after="40" w:before="14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1. 연구 질문과 평가 파이프라인의 설계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본 연구는 sod·gme 위상 ZIF의 유기 링커를 부분·전체 치환한 다변량(MTV) 골격 계열을 설계하고, </w:t>
            </w:r>
            <w:r>
              <w:rPr>
                <w:rFonts w:ascii="휴먼명조" w:hAnsi="휴먼명조" w:eastAsia="휴먼명조"/>
                <w:b/>
                <w:sz w:val="20"/>
              </w:rPr>
              <w:t>“습윤 배가스에서 어느 치환율이 가장 유리한가”</w:t>
            </w:r>
            <w:r>
              <w:rPr>
                <w:rFonts w:ascii="휴먼명조" w:hAnsi="휴먼명조" w:eastAsia="휴먼명조"/>
                <w:b w:val="0"/>
                <w:sz w:val="20"/>
              </w:rPr>
              <w:t>라는 단일 질문에 답하도록 평가 파이프라인을 설계하는 것이다. 실제 flue gas에는 수분이 동반되므로 건조 조건의 CO₂ 흡착량만으로는 포집 소재를 평가할 수 없다. 배가스 조건은 CO₂ 0.15 bar, 298 K, 상대습도 90%로 고정하였다.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질문을 상반된 두 가설로 분해하였다. </w:t>
            </w:r>
            <w:r>
              <w:rPr>
                <w:rFonts w:ascii="휴먼명조" w:hAnsi="휴먼명조" w:eastAsia="휴먼명조"/>
                <w:b/>
                <w:sz w:val="20"/>
              </w:rPr>
              <w:t>가설 1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극성 치환기가 늘면 기공 내 전기장 기울기가 강해져 건조 CO₂ 흡착이 단조 증가한다. </w:t>
            </w:r>
            <w:r>
              <w:rPr>
                <w:rFonts w:ascii="휴먼명조" w:hAnsi="휴먼명조" w:eastAsia="휴먼명조"/>
                <w:b/>
                <w:sz w:val="20"/>
              </w:rPr>
              <w:t>가설 2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같은 자리가 물과의 상호작용도 키우므로, 습윤 조건에서는 과도한 치환이 오히려 CO₂를 밀어내는 유한한 최적점이 존재한다. 두 가설이 반대 방향을 가리키므로 우열은 계산이 정하며, 연구자는 판정 기준만 사전에 고정한다.</w:t>
            </w:r>
          </w:p>
          <w:p>
            <w:pPr>
              <w:spacing w:line="240" w:lineRule="auto" w:after="40" w:before="10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1.1 기초 설계: 설계와 방식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치환기 크기가 바뀌면 두 효과가 동시에 발생한다. 전기장 기울기 변화에 따른 CO₂ 사극자 끌어당김(정전기 항)과, 창구·공동 크기 변화에 따른 Lennard-Jones 항의 r⁻¹² 반발 및 r⁻⁶ 인력 변화이다. 두 효과는 트레이드오프 관계이므로 설계 목표는 둘의 합이 순이익이 되게 하는 것이다. 두 항을 분리하기 위해 동일 구조를 골격 전하를 켠 상태(q_on)와 끈 상태(q_off)로 각각 계산하였다. LJ 항은 전하 유무와 무관하므로 차분에서 완전히 소거되고, 남는 것은 정전기가 CO₂를 옮긴 양뿐이다. 이 분해로 정전기 기여가 무치환 41%에서 고치환 약 69%까지 오름을 확인하였다.</w:t>
            </w:r>
          </w:p>
          <w:p>
            <w:pPr>
              <w:spacing w:line="240" w:lineRule="auto" w:after="40" w:before="10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1.2 후보 리간드와 평가 단계</w:t>
            </w:r>
          </w:p>
          <w:tbl>
            <w:tblPr>
              <w:tblStyle w:val="af0"/>
              <w:tblW w:type="auto" w:w="0"/>
              <w:tblLook w:firstColumn="1" w:firstRow="1" w:lastColumn="0" w:lastRow="0" w:noHBand="0" w:noVBand="1" w:val="04A0"/>
            </w:tblPr>
            <w:tblGrid>
              <w:gridCol w:w="3769"/>
              <w:gridCol w:w="3769"/>
            </w:tblGrid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약어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C2 치환기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mIm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–CH₃ (메틸)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nIm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–NO₂ (니트로)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clIm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–Cl (클로로)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cnIm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–CN (시아노)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amIm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–NH₂ (아미노)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saIm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–SO₃H (술폰산)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msIm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–SO₂CH₃ (메틸설포닐)</w:t>
                  </w:r>
                </w:p>
              </w:tc>
            </w:tr>
          </w:tbl>
          <w:p/>
          <w:p>
            <w:pPr>
              <w:spacing w:line="240" w:lineRule="auto" w:after="60" w:before="0"/>
            </w:pPr>
          </w:p>
          <w:p>
            <w:pPr>
              <w:spacing w:line="240" w:lineRule="auto" w:after="6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&lt;표 1&gt; MTV 설계를 위한 이미다졸레이트 링커 후보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MTV 설계를 위한 이미다졸레이트 후보 중 EWG(전자끌개)인 nIm(–NO₂), saIm(–SO₃H)을 중점으로 하였다. 후보 하나가 지나는 단계를 계산 전에 설계하였으며, 순서에 의미가 있다 — 뒤로 갈수록 조성을 떨어뜨리는 관문이고, 앞 단계의 1위가 뒤 단계에서 탈락하는 일이 실제로 일어났다.</w:t>
            </w:r>
          </w:p>
          <w:tbl>
            <w:tblPr>
              <w:tblStyle w:val="af0"/>
              <w:tblW w:type="auto" w:w="0"/>
              <w:tblLook w:firstColumn="1" w:firstRow="1" w:lastColumn="0" w:lastRow="0" w:noHBand="0" w:noVBand="1" w:val="04A0"/>
            </w:tblPr>
            <w:tblGrid>
              <w:gridCol w:w="2513"/>
              <w:gridCol w:w="2513"/>
              <w:gridCol w:w="2513"/>
            </w:tblGrid>
            <w:tr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단계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답하는 질문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사전 등록 관문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① 구조 생성·감사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물리적으로 성립하는가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조성 개수 = 이름, 융합·고아 원자 0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② 기하 이완·전하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실험 CIF 왜곡을 풀었는가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C–H 1.05~1.12 Å, |Σq| &lt; 1×10⁻⁴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③ 건조 흡착 GCMC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얼마나·얼마나 세게 잡는가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Q_st 목표대 30~40 kJ/mol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④ 수분 경쟁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물이 있어도 잡는가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RH90 유지율 ≥80 유효 / 50~80 조건부 / &lt;50 종료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⑤ 습윤 작업 용량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떼어낼 수 있는가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순위는 1.5σ 규칙으로만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⑥ 구조 안정성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골격이 기공을 유지하는가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PLD&gt;3.3 Å, LCD 감소&lt;20%, 최소거리&gt;0.7 Å</w:t>
                  </w:r>
                </w:p>
              </w:tc>
            </w:tr>
          </w:tbl>
          <w:p/>
          <w:p>
            <w:pPr>
              <w:spacing w:line="240" w:lineRule="auto" w:after="60" w:before="0"/>
            </w:pPr>
          </w:p>
          <w:p>
            <w:pPr>
              <w:spacing w:line="240" w:lineRule="auto" w:after="6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&lt;표 2&gt; 평가 파이프라인의 단계와 사전 등록 관문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판정 규율 넷을 함께 등록하였다. (i) 모든 판정 기준은 계산 전에 문서로 등록하고 결과를 본 뒤 고치지 않는다. (ii) 모든 수치에 1σ를 병기하고 차이가 1.5σ 미만이면 순위를 매기지 않는다 — 1.5σ 미만은 “같다”가 아니라 “모른다”이다. (iii) 작업 용량은 두 로딩의 차이이므로 오차를 제곱합근으로 합성한다. (iv) 구조 세대가 다르면 수치를 한 표에 놓지 않는다.</w:t>
            </w:r>
          </w:p>
          <w:p>
            <w:pPr>
              <w:spacing w:line="240" w:lineRule="auto" w:after="40" w:before="10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1.3 계산 구조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흡착 시뮬레이션은 RASPA2의 대정준(μVT) 몬테카를로를 사용했고, 무한 희석 극한의 헨리 상수와 등량 흡착열은 Widom 삽입으로 얻었다. 기하 이완은 GFN-FF(셀 고정, FIRE, f_max&lt;0.05 eV/Å), 골격 부분전하는 DDEC6를 기계학습으로 재현하는 PACMAN, 기공 지표(PLD·LCD·접근가능부피)는 Zeo++로 계산하였다. 설정은 전 계산에서 한 값도 바꾸지 않았다.</w:t>
            </w:r>
          </w:p>
          <w:tbl>
            <w:tblPr>
              <w:tblStyle w:val="af0"/>
              <w:tblW w:type="auto" w:w="0"/>
              <w:tblLook w:firstColumn="1" w:firstRow="1" w:lastColumn="0" w:lastRow="0" w:noHBand="0" w:noVBand="1" w:val="04A0"/>
            </w:tblPr>
            <w:tblGrid>
              <w:gridCol w:w="1884"/>
              <w:gridCol w:w="1884"/>
              <w:gridCol w:w="1884"/>
              <w:gridCol w:w="1884"/>
            </w:tblGrid>
            <w:tr>
              <w:tc>
                <w:tcPr>
                  <w:tcW w:type="dxa" w:w="1247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항목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설정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항목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설정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사이클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초기화 5,000 + 생산 15,000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정전기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Ewald 1×10⁻⁶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골격 힘장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UFF_MOF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컷오프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12 Å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CO₂ 모델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García-Sánchez 2009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셀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2×2×2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물 모델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TIP5P-Ew (5자리)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흡착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0.15 bar · 298 K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전하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PACMAN DDEC6</w:t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재생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TSA 373 K / VSA 0.05 bar</w:t>
                  </w:r>
                </w:p>
              </w:tc>
            </w:tr>
          </w:tbl>
          <w:p/>
          <w:p>
            <w:pPr>
              <w:spacing w:line="240" w:lineRule="auto" w:after="60" w:before="0"/>
            </w:pPr>
          </w:p>
          <w:p>
            <w:pPr>
              <w:spacing w:line="240" w:lineRule="auto" w:after="6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&lt;표 3&gt; 계산 구조에 대한 세부사항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목표 Q_st를 30~40 kJ/mol로 설정한 배경은 다음과 같다. 배가스의 CO₂ 분압이 0.15 bar로 낮고 회수는 373 K 승온으로 하므로, 흡착이 자발적이려면(ΔG = ΔH − TΔS &lt; 0, 흡착은 ΔS&lt;0) 발열이 충분해야 하고(하한), 결합이 셀수록 재생 비용이 커진다(상한). 이 창을 정량화하기 위해 본 계열 38개 구조의 (Q_st, K_H) 실측을 회귀해 랑뮈어–반트호프 모형을 세웠다(ln K_H = −13.98 + 0.451·Q_st/RT, R² = 0.945). 회귀 구간이 22.4~34.0 kJ/mol로 목표 창을 감싸므로 외삽이 아니며, 모형은 무치환 로딩을 0.580 mol/kg로 예측해 실측 0.589와 일치한다.</w:t>
            </w:r>
          </w:p>
          <w:p>
            <w:pPr>
              <w:spacing w:line="240" w:lineRule="auto" w:after="2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20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wind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8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&lt;그림 1&gt; 총 재생 에너지 E = Q_st + 현열(67.5/WC)의 Q_st 의존성. 현열을 포함하면 최적이 36~38 kJ/mol이며, 포화 용량 가정을 3배 바꿔도 2 kJ/mol만 움직인다.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작업 용량만 최대화하면 최적이 39~46으로 높지만, 재생 에너지를 지배하는 것은 흡착열이 아니라 현열이다(2.3절). 현열은 작업 용량에 반비례하므로 총 에너지를 최소화하면 최적이 </w:t>
            </w:r>
            <w:r>
              <w:rPr>
                <w:rFonts w:ascii="휴먼명조" w:hAnsi="휴먼명조" w:eastAsia="휴먼명조"/>
                <w:b/>
                <w:sz w:val="20"/>
              </w:rPr>
              <w:t>36~38 kJ/mol</w:t>
            </w:r>
            <w:r>
              <w:rPr>
                <w:rFonts w:ascii="휴먼명조" w:hAnsi="휴먼명조" w:eastAsia="휴먼명조"/>
                <w:b w:val="0"/>
                <w:sz w:val="20"/>
              </w:rPr>
              <w:t>로 내려온다. 창의 하한은 어떤 가정에서도 30~32이며, 그 밖의 대가는 가파르다(Q_st 25에서 126.5, 20에서 234.6 kJ/mol). 상한 40은 에너지가 허용하는 값(약 45)보다 보수적이며, 물리흡착과 화학흡착의 경계(아민계 80~100 kJ/mol을 넣으면 총 에너지가 549로 발산)와 후술할 구조 안정성 한계가 그 근거이다.</w:t>
            </w:r>
          </w:p>
          <w:p>
            <w:pPr>
              <w:spacing w:line="240" w:lineRule="auto" w:after="40" w:before="10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1.4 구조의 선정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−SO₃H에 이르기까지 세 노선을 정량적 근거로 닫았다. </w:t>
            </w:r>
            <w:r>
              <w:rPr>
                <w:rFonts w:ascii="휴먼명조" w:hAnsi="휴먼명조" w:eastAsia="휴먼명조"/>
                <w:b/>
                <w:sz w:val="20"/>
              </w:rPr>
              <w:t>① 기공 축소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공동을 좁혀 분산력을 키우려 했으나 ZIF-8에서는 치환기가 창구를 먼저 막아 반증되었다(다만 이 실패에서 −SO₃H가 부산물로 나왔다). </w:t>
            </w:r>
            <w:r>
              <w:rPr>
                <w:rFonts w:ascii="휴먼명조" w:hAnsi="휴먼명조" w:eastAsia="휴먼명조"/>
                <w:b/>
                <w:sz w:val="20"/>
              </w:rPr>
              <w:t>② 게이트 오프닝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링커 24° 회전에 드는 골격 변형이 셀당 281 kJ/mol인데 0.15 bar 흡착이 갚는 것은 14~29에 그친다. 실험의 열린 상은 1.47 GPa 알코올이 채운 조건이었고, 그 구조를 빈 골격으로 이완시키면 스윙각이 24.55°→0.67°로 스스로 닫힌다. 이 배제로 유연 골격 MD 없이 강체 스크리닝이 정당화되었다. </w:t>
            </w:r>
            <w:r>
              <w:rPr>
                <w:rFonts w:ascii="휴먼명조" w:hAnsi="휴먼명조" w:eastAsia="휴먼명조"/>
                <w:b/>
                <w:sz w:val="20"/>
              </w:rPr>
              <w:t>③ 열린 금속 자리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셀당 하나의 레버리지가 7%뿐이라 목표에 닿으려면 국소 결합 215 kJ/mol이 필요한데 이는 공유결합보다 강해야 하므로 불가능하다.</w:t>
            </w:r>
          </w:p>
          <w:tbl>
            <w:tblPr>
              <w:tblStyle w:val="af0"/>
              <w:tblW w:type="auto" w:w="0"/>
              <w:tblLook w:firstColumn="1" w:firstRow="1" w:lastColumn="0" w:lastRow="0" w:noHBand="0" w:noVBand="1" w:val="04A0"/>
            </w:tblPr>
            <w:tblGrid>
              <w:gridCol w:w="1884"/>
              <w:gridCol w:w="1884"/>
              <w:gridCol w:w="1884"/>
              <w:gridCol w:w="1884"/>
            </w:tblGrid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작용기 (최적 조성)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Q_st (kJ/mol)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0.15 bar 로딩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무치환 대비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−SO₃H (100%)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34.01 ± 0.55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1.543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+11.59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−SO₂CH₃ (75%)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29.01 ± 0.25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1.003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+6.59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−NO₂ (100%)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28.87 ± 0.35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0.879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+6.45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−CF₃ (75%)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26.72 ± 0.24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0.827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+4.30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−C≡N (50%)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24.73 ± 0.07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0.732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+2.31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−F (100%)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23.03 ± 0.16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0.416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+0.61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−Br (100%)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22.73 ± 0.14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0.564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+0.31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무치환 모체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22.42 ± 0.11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0.589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기준</w:t>
                  </w:r>
                </w:p>
              </w:tc>
            </w:tr>
          </w:tbl>
          <w:p/>
          <w:p>
            <w:pPr>
              <w:spacing w:line="240" w:lineRule="auto" w:after="60" w:before="0"/>
            </w:pPr>
          </w:p>
          <w:p>
            <w:pPr>
              <w:spacing w:line="240" w:lineRule="auto" w:after="6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&lt;표 4&gt; 대체 작용기 벤치마크 (동일 프로토콜, 이완 구조)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읽을 것이 셋이다. </w:t>
            </w:r>
            <w:r>
              <w:rPr>
                <w:rFonts w:ascii="휴먼명조" w:hAnsi="휴먼명조" w:eastAsia="휴먼명조"/>
                <w:b/>
                <w:sz w:val="20"/>
              </w:rPr>
              <w:t>첫째, −SO₃H만 목표대에 든다.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차점과 5.0 kJ/mol 차이이고 그 아래는 무치환에서 크게 벗어나지 못한다. </w:t>
            </w:r>
            <w:r>
              <w:rPr>
                <w:rFonts w:ascii="휴먼명조" w:hAnsi="휴먼명조" w:eastAsia="휴먼명조"/>
                <w:b/>
                <w:sz w:val="20"/>
              </w:rPr>
              <w:t>둘째, 순수 분산력 노선은 작동하지 않는다.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큰 분극률을 노린 −Br은 100% 치환에도 +0.31 kJ/mol에 그쳤고, −F는 로딩이 오히려 무치환 아래로 떨어졌다(0.589→0.416). </w:t>
            </w:r>
            <w:r>
              <w:rPr>
                <w:rFonts w:ascii="휴먼명조" w:hAnsi="휴먼명조" w:eastAsia="휴먼명조"/>
                <w:b/>
                <w:sz w:val="20"/>
              </w:rPr>
              <w:t>셋째, 수소결합 공여자의 유무가 갈림길이다.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−SO₂CH₃는 −SO₃H의 −OH를 −CH₃로 막은 것으로, 황과 두 산소가 같고 부피도 비슷한데 같은 치환율 75%에서 Q_st가 31.42 대 29.01로 2.41 kJ/mol 벌어진다. 이 차이가 곧 공여 −OH의 몫이며, 2.2절에서 물이 공격하는 자리가 정확히 이 −OH이다.</w:t>
            </w:r>
          </w:p>
          <w:p>
            <w:pPr>
              <w:spacing w:line="240" w:lineRule="auto" w:after="40" w:before="14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2. 결과 보고</w:t>
            </w:r>
          </w:p>
          <w:p>
            <w:pPr>
              <w:spacing w:line="240" w:lineRule="auto" w:after="40" w:before="10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2.1 모체 변화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치환기 도입에는 상반된 두 요구가 있다 — 분산력을 키우려면 공동이 좁아야 하고, 정전기 자리를 붙이려면 부피가 필요하다. sodalite 구조의 ZIF-8에서는 이 둘이 같은 부피를 다투었다. C2 자리의 치환기가 6원환 창구를 향하므로, 작용기를 넣으면 공동(LCD 10.99→10.43 Å, −5%)은 거의 줄지 않으면서 창구(PLD 3.41→3.25 Å)가 막힌다. ZIF-7은 반대로 공동이 너무 좁아 작용기를 붙일 자리가 없었다. gme 위상의 ZIF-69에서는 결과가 뒤집힌다 — 벤조이미다졸레이트의 b2 자리가 공동 쪽을 향하므로 공동은 크게 줄고(LCD −19%) 창구는 열린 채 남는다(PLD 4.96→4.24 Å). </w:t>
            </w:r>
            <w:r>
              <w:rPr>
                <w:rFonts w:ascii="휴먼명조" w:hAnsi="휴먼명조" w:eastAsia="휴먼명조"/>
                <w:b/>
                <w:sz w:val="20"/>
              </w:rPr>
              <w:t>위상이 작용기의 방향을 정하고, 방향이 결과의 부호를 정한다.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ZIF-69는 Zn(nIm)(cbIm)로 두 링커가 1:1로 섞인 그 자체로 MTV인 골격이며, 단위셀 600원자에 치환 가능한 −Cl 자리가 정확히 24개이다. 따라서 치환율은 1/24 = 4.17%p 간격의 이산 격자가 되고, −Cl 하나가 −SO₃H로 바뀌면 원자가 넷 늘므로(원자 수 = 600+4n) 조성이 조용히 어긋나면 검산에서 걸린다.</w:t>
            </w:r>
          </w:p>
          <w:p>
            <w:pPr>
              <w:spacing w:line="240" w:lineRule="auto" w:after="2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21181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ladd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2118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8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&lt;그림 2&gt; 치환율에 따른 등량 흡착열과 0.15 bar 로딩. 흡착열 22.4→34.0 kJ/mol, 로딩 2.6배. 오차막대는 1σ.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치환은 명확히 작동한다. 로딩을 셀당 분자 수로 바꾸면 무치환 셀이 CO₂ 4.7개, 100% 치환 셀이 12.2개를 붙든다. 기전은 정전기이다 — CO₂는 쌍극자가 없지만 큰 사극자를 가지므로 −SO₃H가 만드는 국소 전기장 기울기와 강하게 결합한다. 같은 사다리가 선택도에도 서서 CO₂/N₂ 선택도가 20.1에서 150.9로 7.5배 오른다. 한편 기하 이완은 값을 옮기는 보정이 아니라 순위를 바꾸는 단계였다 — 이완 전 전 조성 1위(36.90)였던 −SO₂CH₃ 75%가 이완 후 29.01로 무너졌으므로, 작용기 서열은 이완된 기하에서만 인용해야 한다.</w:t>
            </w:r>
          </w:p>
          <w:p>
            <w:pPr>
              <w:spacing w:line="240" w:lineRule="auto" w:after="40" w:before="10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2.2 습윤 조건 하에서의 선택도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물 분압을 0에서 RH90(2,852 Pa)까지 올리며 CO₂/H₂O 이원 GCMC를 수행하였다. 판정 기준은 계산 전에 등록하였다.</w:t>
            </w:r>
          </w:p>
          <w:p>
            <w:pPr>
              <w:spacing w:line="240" w:lineRule="auto" w:after="2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21181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wa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2118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8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&lt;그림 3&gt; RH90 CO₂ 유지율(좌축)과 흡착 시 H₂O/CO₂ 비(우축). 유지율은 25~75% 구간에서 고원을 이루고 100%에서 꺾이며, 같은 자리에서 물/CO₂ 비가 두 배가 된다.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종료되는 조성은 없으나 구조가 뚜렷하다. 유지율은 단조 감소가 아니라 25~75% 구간에서 76~80%의 고원을 이루고(인접 차이 1.36σ·0.31σ로 구별 불가) 100%에서 16.4%p, 5.5σ로 꺾인다. 같은 자리에서 물/CO₂ 비가 1.19에서 2.31로 두 배가 된다 — </w:t>
            </w:r>
            <w:r>
              <w:rPr>
                <w:rFonts w:ascii="휴먼명조" w:hAnsi="휴먼명조" w:eastAsia="휴먼명조"/>
                <w:b/>
                <w:sz w:val="20"/>
              </w:rPr>
              <w:t>점진적 악화가 아니라 문턱 현상이다.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물리적 원인은 1.4절의 기전 그 자체이다. CO₂를 세게 잡는 −OH 공여 자리는 물이 가장 잘 쓰는 자리이기도 하다. 물의 물리흡착 엔탈피는 최대 −59 kJ/mol로 본 계열의 어떤 CO₂ 흡착열(22~34)보다 크므로, 극성 자리가 임계 밀도를 넘으면 물 분자들이 수소결합 네트워크를 이루며 공동을 자기들끼리 채우기 시작한다.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유지율만 인용하면 결론이 거꾸로 읽힌다는 점도 명시한다 — 유지율 최하 조성(100%)의 절대 습윤 로딩(0.933)은 무치환(0.574)의 1.6배이다. 비율은 분모가 조성마다 크게 다르므로, 판정은 절대 작업 용량으로 내린다. 물 분압을 고정한 채 온도만 올리면 373 K에서 상대습도가 2.8%로 떨어져 흡착된 물의 86~90%가 스스로 빠지므로(자가건조) 전처리 건조 없이 온도 스윙만으로 재생이 성립한다. 유일한 예외가 100%로 제거율 77.6%에 그쳐, 앞서의 문턱을 넘은 조성은 재생 온도에서도 물을 놓지 않는다.</w:t>
            </w:r>
          </w:p>
          <w:p>
            <w:pPr>
              <w:spacing w:line="240" w:lineRule="auto" w:after="40" w:before="10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2.3 단일 치환 – 혼합 치환기 간 비교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실제 공정에서 기체 흐름의 물 함량은 변하지 않으므로, 물 분압을 고정한 채 온도와 CO₂ 분압만 바꿔 흡착(298 K)·온도 스윙 탈착(373 K)을 계산하고 습윤 작업 용량(흡착 로딩 − 탈착 로딩)을 승자 지표로 사전 등록하였다. 동시에 구조 안정성 관문(이완 후 LCD 감소 20% 초과 시 탈락)을 적용하였다.</w:t>
            </w:r>
          </w:p>
          <w:p>
            <w:pPr>
              <w:spacing w:line="240" w:lineRule="auto" w:after="2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04000" cy="329529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window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3295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8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&lt;그림 4&gt; 두 관문의 창. 안정성 창은 58.3→62.5%의 치환 자리 하나 사이에서 닫히고(LCD 감소 15.7→20.9%), 흡착 창은 66.7→75% 사이에서 열린다. 회색이 두 창 사이의 간격.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안정성 관문은 치환 자리 딱 하나(14→15/24) 사이에서 15.7%에서 20.9%로 뛰며 닫히고, 그 위 62.5~100%는 20.3~22.5%로 거의 평평하다. 흡착 문턱은 66.7%(29.59, 문턱 밑 1.4σ)와 75%(31.42, 문턱 위 6.5σ) 사이에서야 열린다. </w:t>
            </w:r>
            <w:r>
              <w:rPr>
                <w:rFonts w:ascii="휴먼명조" w:hAnsi="휴먼명조" w:eastAsia="휴먼명조"/>
                <w:b/>
                <w:sz w:val="20"/>
              </w:rPr>
              <w:t>두 창이 격자점 두 칸 이상 어긋나 있으므로, −SO₃H 단독 치환으로는 흡착 목표대에 들면서 구조가 버티는 조성이 존재하지 않는다.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경계 조성 75%의 초과 폭(0.26%p)은 이완 예산을 세 배로 늘려도 ±0.06%p에 머물러, 탈락은 프로토콜 인공물이 아니다.</w:t>
            </w:r>
          </w:p>
          <w:p>
            <w:pPr>
              <w:spacing w:line="240" w:lineRule="auto" w:after="2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8000" cy="19952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5_w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99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8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&lt;그림 5&gt; (좌) 단일 치환의 습윤 TSA 작업 용량. 회색은 안정성 관문 탈락. (우) 승자와 혼합 치환의 비교.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건조 세 축(흡착열·로딩·건조 작업 용량) 1위였던 100%가 습윤에서 꼴찌이다. 생존자 가운데 최대는 </w:t>
            </w:r>
            <w:r>
              <w:rPr>
                <w:rFonts w:ascii="휴먼명조" w:hAnsi="휴먼명조" w:eastAsia="휴먼명조"/>
                <w:b/>
                <w:sz w:val="20"/>
              </w:rPr>
              <w:t>−SO₃H 58.3%(14/24 자리)</w:t>
            </w:r>
            <w:r>
              <w:rPr>
                <w:rFonts w:ascii="휴먼명조" w:hAnsi="휴먼명조" w:eastAsia="휴먼명조"/>
                <w:b w:val="0"/>
                <w:sz w:val="20"/>
              </w:rPr>
              <w:t>로 습윤 TSA 작업 용량 0.833 ± 0.025 mol/kg — 무치환 대비 +77% — 이며, 차순위 50%를 2.10σ로 이긴다. 58.3%는 관문 탈락자인 75%의 습윤 성능과 통계적으로 구별되지 않으면서(0.015σ) 관문을 통과한다. 즉 안정성을 포기하지 않고 75%의 성능을 얻는다.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−SO₃H 단독으로 두 창이 겹치지 않는다면, 공동을 덜 잠식하는 극성기를 섞어 창을 옮길 수 있는가. 니트로기는 수소결합 공여자가 없어 물 결합이 약하고 부피가 작다. 이 가설로 혼합 조성 세 종을 같은 파이프라인에 태웠다.</w:t>
            </w:r>
          </w:p>
          <w:tbl>
            <w:tblPr>
              <w:tblStyle w:val="af0"/>
              <w:tblW w:type="auto" w:w="0"/>
              <w:tblLook w:firstColumn="1" w:firstRow="1" w:lastColumn="0" w:lastRow="0" w:noHBand="0" w:noVBand="1" w:val="04A0"/>
            </w:tblPr>
            <w:tblGrid>
              <w:gridCol w:w="1884"/>
              <w:gridCol w:w="1884"/>
              <w:gridCol w:w="1884"/>
              <w:gridCol w:w="1884"/>
            </w:tblGrid>
            <w:tr>
              <w:tc>
                <w:tcPr>
                  <w:tcW w:type="dxa" w:w="2835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혼합 조성 (24자리 배분)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Q_st (kJ/mol)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LCD 감소 (%)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/>
                      <w:sz w:val="17"/>
                    </w:rPr>
                    <w:t>습윤 TSA WC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−SO₃H 50% + −NO₂ 50%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30.36 ± 0.35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9.74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0.693 ± 0.016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−SO₃H 25% + −NO₂ 75%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29.58 ± 0.34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1.42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0.600 ± 0.016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−SO₂CH₃ 50% + −NO₂ 50%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28.45 ± 0.19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16.09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0.626 ± 0.009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(참고) −SO₃H 58.3% 단독</w:t>
                  </w:r>
                </w:p>
              </w:tc>
              <w:tc>
                <w:tcPr>
                  <w:tcW w:type="dxa" w:w="181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28.75 ± 0.18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15.71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휴먼명조" w:hAnsi="휴먼명조" w:eastAsia="휴먼명조"/>
                      <w:b w:val="0"/>
                      <w:sz w:val="17"/>
                    </w:rPr>
                    <w:t>0.833 ± 0.025</w:t>
                  </w:r>
                </w:p>
              </w:tc>
            </w:tr>
          </w:tbl>
          <w:p/>
          <w:p>
            <w:pPr>
              <w:spacing w:line="240" w:lineRule="auto" w:after="60" w:before="0"/>
            </w:pPr>
          </w:p>
          <w:p>
            <w:pPr>
              <w:spacing w:line="240" w:lineRule="auto" w:after="60" w:before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&lt;표 5&gt; 혼합 치환 결과. 안정성 관문은 3종 모두 통과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−SO₃H 50% + −NO₂ 50%가 본 연구에서 처음으로 두 관문을 동시에 넘었다 — 흡착열 30.36으로 목표대에 들면서 LCD 감소가 9.7%에 그친다. 그러나 습윤 작업 용량은 0.693으로 승자에 </w:t>
            </w:r>
            <w:r>
              <w:rPr>
                <w:rFonts w:ascii="휴먼명조" w:hAnsi="휴먼명조" w:eastAsia="휴먼명조"/>
                <w:b/>
                <w:sz w:val="20"/>
              </w:rPr>
              <w:t>4.69σ 뒤진다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. 니트로기는 물 경쟁을 줄이는 데는 성공했지만, 공동을 넓게 남긴 만큼 CO₂ 흡착 밀도도 잃었다. </w:t>
            </w:r>
            <w:r>
              <w:rPr>
                <w:rFonts w:ascii="휴먼명조" w:hAnsi="휴먼명조" w:eastAsia="휴먼명조"/>
                <w:b/>
                <w:sz w:val="20"/>
              </w:rPr>
              <w:t>구조 여유를 산 대가가 성능이었던 것이다.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목표대 진입과 실사용 성능이 별개의 축이라는 것이 이 라운드의 요지이며, 지표를 습윤 작업 용량으로 사전 등록해 둔 이유이기도 하다.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재생 에너지 수지도 같은 결론을 지지한다. 온도 스윙 재생 에너지는 흡착열·현열·건조 잠열의 합인데, 현열(45~144 kJ/mol)이 흡착열(22~34)의 2~5배로 수지를 지배한다. 현열은 골격 1 kg을 75 K 올리는 고정비(67.5 kJ/kg)를 작업 용량으로 나눈 값이므로, </w:t>
            </w:r>
            <w:r>
              <w:rPr>
                <w:rFonts w:ascii="휴먼명조" w:hAnsi="휴먼명조" w:eastAsia="휴먼명조"/>
                <w:b/>
                <w:sz w:val="20"/>
              </w:rPr>
              <w:t>치환의 진짜 이득은 흡착열을 올린 것이 아니라 작업 용량을 키워 난방비를 희석시킨 것이다.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승자 조성을 젖은 채로 운전하면 약 110 kJ/mol-CO₂이며, 무치환(166)보다 34% 낮다.</w:t>
            </w:r>
          </w:p>
          <w:p>
            <w:pPr>
              <w:spacing w:line="240" w:lineRule="auto" w:after="40" w:before="140"/>
              <w:jc w:val="both"/>
            </w:pPr>
            <w:r>
              <w:rPr>
                <w:rFonts w:ascii="휴먼명조" w:hAnsi="휴먼명조" w:eastAsia="휴먼명조"/>
                <w:b/>
                <w:sz w:val="22"/>
              </w:rPr>
              <w:t>3. 종합 결론</w:t>
            </w:r>
          </w:p>
          <w:p>
            <w:pPr>
              <w:spacing w:line="240" w:lineRule="auto" w:after="40" w:before="0"/>
              <w:ind w:left="170"/>
              <w:jc w:val="both"/>
            </w:pPr>
            <w:r>
              <w:rPr>
                <w:rFonts w:ascii="휴먼명조" w:hAnsi="휴먼명조" w:eastAsia="휴먼명조"/>
                <w:b/>
                <w:sz w:val="20"/>
              </w:rPr>
              <w:t xml:space="preserve">(1) </w:t>
            </w:r>
            <w:r>
              <w:rPr>
                <w:rFonts w:ascii="휴먼명조" w:hAnsi="휴먼명조" w:eastAsia="휴먼명조"/>
                <w:b w:val="0"/>
                <w:sz w:val="20"/>
              </w:rPr>
              <w:t>서두의 질문에 답이 나왔다. 습윤 배가스에서 최적 치환율은 −SO₃H 58.3%(14/24 자리)이며, 습윤 TSA 작업 용량 0.833 ± 0.025 mol/kg로 무치환 대비 +77%이다.</w:t>
            </w:r>
          </w:p>
          <w:p>
            <w:pPr>
              <w:spacing w:line="240" w:lineRule="auto" w:after="40" w:before="0"/>
              <w:ind w:left="170"/>
              <w:jc w:val="both"/>
            </w:pPr>
            <w:r>
              <w:rPr>
                <w:rFonts w:ascii="휴먼명조" w:hAnsi="휴먼명조" w:eastAsia="휴먼명조"/>
                <w:b/>
                <w:sz w:val="20"/>
              </w:rPr>
              <w:t xml:space="preserve">(2) </w:t>
            </w:r>
            <w:r>
              <w:rPr>
                <w:rFonts w:ascii="휴먼명조" w:hAnsi="휴먼명조" w:eastAsia="휴먼명조"/>
                <w:b w:val="0"/>
                <w:sz w:val="20"/>
              </w:rPr>
              <w:t>이 값은 상한이 아니라 제약의 산물이다. CO₂를 잡는 기전(−OH 수소결합 공여·국소 전기장)이 물을 잡고 공동을 잠식하는 기전과 동일하므로, 안정성 창(≤58.3%)과 흡착 목표대 창(≥75%)은 단독 치환으로 겹칠 수 없다.</w:t>
            </w:r>
          </w:p>
          <w:p>
            <w:pPr>
              <w:spacing w:line="240" w:lineRule="auto" w:after="40" w:before="0"/>
              <w:ind w:left="170"/>
              <w:jc w:val="both"/>
            </w:pPr>
            <w:r>
              <w:rPr>
                <w:rFonts w:ascii="휴먼명조" w:hAnsi="휴먼명조" w:eastAsia="휴먼명조"/>
                <w:b/>
                <w:sz w:val="20"/>
              </w:rPr>
              <w:t xml:space="preserve">(3) </w:t>
            </w:r>
            <w:r>
              <w:rPr>
                <w:rFonts w:ascii="휴먼명조" w:hAnsi="휴먼명조" w:eastAsia="휴먼명조"/>
                <w:b w:val="0"/>
                <w:sz w:val="20"/>
              </w:rPr>
              <w:t>최대 치환이 최적이 아니다. 건조 성능 1위인 100%는 물/CO₂ 문턱(2.31)을 넘어 습윤에서 꼴찌가 되고 자가건조 능력도 잃는다(제거율 77.6%).</w:t>
            </w:r>
          </w:p>
          <w:p>
            <w:pPr>
              <w:spacing w:line="240" w:lineRule="auto" w:after="40" w:before="0"/>
              <w:ind w:left="170"/>
              <w:jc w:val="both"/>
            </w:pPr>
            <w:r>
              <w:rPr>
                <w:rFonts w:ascii="휴먼명조" w:hAnsi="휴먼명조" w:eastAsia="휴먼명조"/>
                <w:b/>
                <w:sz w:val="20"/>
              </w:rPr>
              <w:t xml:space="preserve">(4) </w:t>
            </w:r>
            <w:r>
              <w:rPr>
                <w:rFonts w:ascii="휴먼명조" w:hAnsi="휴먼명조" w:eastAsia="휴먼명조"/>
                <w:b w:val="0"/>
                <w:sz w:val="20"/>
              </w:rPr>
              <w:t>혼합 치환은 창을 겹치게 할 수 있으나(−SO₃H50+−NO₂50: 흡착열 30.36, LCD 감소 9.7%) 습윤 성능 4.69σ를 대가로 치렀다. 지표를 무엇으로 삼는가가 결론을 정하며, 그래서 지표와 관문을 계산보다 먼저 등록하는 설계가 본 연구의 방법론적 결론이다.</w:t>
            </w:r>
          </w:p>
          <w:p>
            <w:pPr>
              <w:spacing w:line="240" w:lineRule="auto" w:after="40" w:before="0"/>
              <w:ind w:left="170"/>
              <w:jc w:val="both"/>
            </w:pPr>
            <w:r>
              <w:rPr>
                <w:rFonts w:ascii="휴먼명조" w:hAnsi="휴먼명조" w:eastAsia="휴먼명조"/>
                <w:b/>
                <w:sz w:val="20"/>
              </w:rPr>
              <w:t xml:space="preserve">(5) </w:t>
            </w:r>
            <w:r>
              <w:rPr>
                <w:rFonts w:ascii="휴먼명조" w:hAnsi="휴먼명조" w:eastAsia="휴먼명조"/>
                <w:b w:val="0"/>
                <w:sz w:val="20"/>
              </w:rPr>
              <w:t>재생의 지배항은 흡착열이 아니라 현열이고, 온도 스윙은 자가건조를 겸한다. 공정 관점의 이득은 결합을 세게 만든 데서가 아니라 작업 용량으로 난방비를 희석한 데서 온다.</w:t>
            </w:r>
          </w:p>
          <w:p>
            <w:pPr>
              <w:spacing w:line="240" w:lineRule="auto" w:after="40" w:before="6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>한계도 함께 적는다. 본 보고서의 ±σ는 통계 재현성이며, 부분 치환 구조에는 별개의 오차 축이 있다 — 같은 치환율이라도 24개 자리 중 어느 것을 골랐는가가 이완 후 기공 기하를 바꾼다. 승자 조성과 동일한 조성비로 자리 배치만 달리한 6개 독립 실현을 측정한 결과 실현 간 표준편차가 로딩 8.1%(통계 오차의 7.2배)였고, 로딩은 실현별 공동 크기와 반상관하였다(r ≈ −0.7). 이 분산을 합성하면 치환의 전 구간 효과(로딩 6.8σ)는 그대로 유의하지만 인접 격자점 간 미세 간격 다수는 유의성을 잃는다. 따라서 58.3%는 “측정된 제약 안에서 생존자 중 통계적 1위”로 읽어야 한다. 아울러 단일 성분 계산인 Q_st 창 유도에는 수분 경쟁이 들어가지 않으며, 골격 비열 0.9 J g⁻¹K⁻¹는 문헌 대표값으로 0.6~1.2 구간에서 재생 에너지 합계가 1.6~1.8배 움직인다.</w:t>
            </w:r>
          </w:p>
        </w:tc>
      </w:tr>
      <w:tr w:rsidR="00E73973" w14:paraId="421A54EB" w14:textId="77777777">
        <w:trPr>
          <w:trHeight w:val="1561"/>
        </w:trPr>
        <w:tc>
          <w:tcPr>
            <w:tcW w:w="2046" w:type="dxa"/>
            <w:tcBorders>
              <w:top w:val="dotted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1FECFE" w14:textId="77777777" w:rsidR="00E73973" w:rsidRDefault="009C46E0">
            <w:pPr>
              <w:pStyle w:val="TableParagraph"/>
              <w:snapToGrid w:val="0"/>
              <w:ind w:left="0"/>
              <w:jc w:val="center"/>
              <w:rPr>
                <w:rFonts w:ascii="휴먼명조" w:eastAsia="휴먼명조" w:cs="휴먼명조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휴먼명조" w:eastAsia="휴먼명조" w:cs="휴먼명조"/>
                <w:b/>
                <w:bCs/>
                <w:sz w:val="20"/>
                <w:szCs w:val="20"/>
                <w:lang w:eastAsia="ko-KR"/>
              </w:rPr>
              <w:lastRenderedPageBreak/>
              <w:t>연구의 학술적 의의 및 기대효과</w:t>
            </w:r>
          </w:p>
        </w:tc>
        <w:tc>
          <w:tcPr>
            <w:tcW w:w="7538" w:type="dxa"/>
            <w:gridSpan w:val="5"/>
            <w:tcBorders>
              <w:top w:val="dotted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1AD3957B" w14:textId="77777777" w:rsidR="00E73973" w:rsidRDefault="00E73973">
            <w:pPr>
              <w:pStyle w:val="TableParagraph"/>
              <w:snapToGrid w:val="0"/>
              <w:spacing w:line="240" w:lineRule="auto" w:after="40" w:before="0"/>
              <w:ind w:left="0"/>
              <w:jc w:val="both"/>
              <w:rPr>
                <w:rFonts w:ascii="휴먼명조" w:eastAsia="휴먼명조" w:cs="휴먼명조"/>
                <w:sz w:val="20"/>
                <w:szCs w:val="20"/>
                <w:lang w:eastAsia="ko-KR"/>
              </w:rPr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본 연구의 의의는 절대 용량으로 최상위 소재를 겨루는 데 있지 않고 방법에 있다. 첫째, </w:t>
            </w:r>
            <w:r>
              <w:rPr>
                <w:rFonts w:ascii="휴먼명조" w:hAnsi="휴먼명조" w:eastAsia="휴먼명조"/>
                <w:b/>
                <w:sz w:val="20"/>
              </w:rPr>
              <w:t>건조 스크리닝이 아니라 습윤 작업 용량을 1차 지표로 사전 등록하고 그 지표로 조성을 판정하였다.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원자 수준 흡착 지표가 공정 성능을 잘 예측하지 못한다는 최근 대규모 스크리닝의 명제가 본 계열 안에서 그대로 재현되었다 — 건조 세 축 1위가 습윤 꼴찌가 되었다. 둘째, </w:t>
            </w:r>
            <w:r>
              <w:rPr>
                <w:rFonts w:ascii="휴먼명조" w:hAnsi="휴먼명조" w:eastAsia="휴먼명조"/>
                <w:b/>
                <w:sz w:val="20"/>
              </w:rPr>
              <w:t>이산 치환 격자를 자리 하나(4.17%p) 분해능까지 좁혀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안정성 창이 닫히는 지점과 흡착 창이 열리는 지점을 각각 한 칸 안에 가두었다. 셋째, 성능을 가르는 물 경쟁의 문턱을 습도 축이 아니라 </w:t>
            </w:r>
            <w:r>
              <w:rPr>
                <w:rFonts w:ascii="휴먼명조" w:hAnsi="휴먼명조" w:eastAsia="휴먼명조"/>
                <w:b/>
                <w:sz w:val="20"/>
              </w:rPr>
              <w:t>조성 축에서 측정</w:t>
            </w:r>
            <w:r>
              <w:rPr>
                <w:rFonts w:ascii="휴먼명조" w:hAnsi="휴먼명조" w:eastAsia="휴먼명조"/>
                <w:b w:val="0"/>
                <w:sz w:val="20"/>
              </w:rPr>
              <w:t>하여, 그 온셋이 치환율 75%와 100% 사이에 놓임을 보였다. 문헌에 같은 축의 측정이 없다.</w:t>
            </w:r>
          </w:p>
          <w:p>
            <w:pPr>
              <w:spacing w:line="240" w:lineRule="auto" w:after="40" w:before="0"/>
              <w:jc w:val="both"/>
            </w:pPr>
            <w:r>
              <w:rPr>
                <w:rFonts w:ascii="휴먼명조" w:hAnsi="휴먼명조" w:eastAsia="휴먼명조"/>
                <w:b w:val="0"/>
                <w:sz w:val="20"/>
              </w:rPr>
              <w:t xml:space="preserve">기대효과는 세 갈래이다. (1) </w:t>
            </w:r>
            <w:r>
              <w:rPr>
                <w:rFonts w:ascii="휴먼명조" w:hAnsi="휴먼명조" w:eastAsia="휴먼명조"/>
                <w:b/>
                <w:sz w:val="20"/>
              </w:rPr>
              <w:t>설계 규칙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극성 관능화는 CO₂ 친화도와 수분 경쟁을 같은 원자에서 함께 키우므로, 습윤 공정용 흡착제의 최적은 최대 관능화가 아니라 균형점에 있다. 이 결론은 −SO₃H·gme 계열을 넘어 수소결합 공여기를 쓰는 모든 물리흡착 설계에 적용된다. (2) </w:t>
            </w:r>
            <w:r>
              <w:rPr>
                <w:rFonts w:ascii="휴먼명조" w:hAnsi="휴먼명조" w:eastAsia="휴먼명조"/>
                <w:b/>
                <w:sz w:val="20"/>
              </w:rPr>
              <w:t>평가 프로토콜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판정 기준의 사전 등록, 1.5σ 규율, 세대 간 인용 금지, 그리고 자리 배치 앙상블로 오차를 잡는 절차는 부분 치환 MTV 소재를 다루는 후속 연구가 그대로 이식할 수 있다. 특히 단일 실현 수치가 조성의 대푯값이 아니라는 관측은 MTV 계산 연구 전반에 해당한다. (3) </w:t>
            </w:r>
            <w:r>
              <w:rPr>
                <w:rFonts w:ascii="휴먼명조" w:hAnsi="휴먼명조" w:eastAsia="휴먼명조"/>
                <w:b/>
                <w:sz w:val="20"/>
              </w:rPr>
              <w:t>공정 설계로의 연결</w:t>
            </w:r>
            <w:r>
              <w:rPr>
                <w:rFonts w:ascii="휴먼명조" w:hAnsi="휴먼명조" w:eastAsia="휴먼명조"/>
                <w:b w:val="0"/>
                <w:sz w:val="20"/>
              </w:rPr>
              <w:t xml:space="preserve"> — 재생 에너지의 지배항이 현열이라는 결과는 소재 개발의 목표를 “더 세게 잡는 것”에서 “작업 용량을 키워 난방비를 희석하는 것”으로 옮긴다. 향후 과제는 습윤 조건의 자리 배치 앙상블 확장, 삼원 MTV 설계, 그리고 −SO₃H 부분 치환 골격의 실제 합성 타당성 검증이다.</w:t>
            </w:r>
          </w:p>
        </w:tc>
      </w:tr>
    </w:tbl>
    <w:p w14:paraId="07388EEC" w14:textId="77777777" w:rsidR="00E73973" w:rsidRDefault="00E73973">
      <w:pPr>
        <w:rPr>
          <w:sz w:val="2"/>
          <w:lang w:eastAsia="ko-KR"/>
        </w:rPr>
      </w:pPr>
    </w:p>
    <w:sectPr w:rsidR="00E73973">
      <w:endnotePr>
        <w:numFmt w:val="decimal"/>
      </w:endnotePr>
      <w:pgSz w:w="11905" w:h="16837"/>
      <w:pgMar w:top="1417" w:right="1133" w:bottom="1417" w:left="1133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Yu Gothic"/>
    <w:panose1 w:val="00000000000000000000"/>
    <w:charset w:val="8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altName w:val="Batang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ACF"/>
    <w:multiLevelType w:val="hybridMultilevel"/>
    <w:tmpl w:val="B2B8F4E4"/>
    <w:lvl w:ilvl="0" w:tplc="B6543034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084A2EC6"/>
    <w:multiLevelType w:val="multilevel"/>
    <w:tmpl w:val="25F8F2C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DF4112"/>
    <w:multiLevelType w:val="hybridMultilevel"/>
    <w:tmpl w:val="D94A69CE"/>
    <w:lvl w:ilvl="0" w:tplc="50C4F104">
      <w:start w:val="2"/>
      <w:numFmt w:val="bullet"/>
      <w:lvlText w:val="-"/>
      <w:lvlJc w:val="left"/>
      <w:pPr>
        <w:ind w:left="1360" w:hanging="360"/>
      </w:pPr>
      <w:rPr>
        <w:rFonts w:ascii="휴먼명조" w:eastAsia="휴먼명조" w:hAnsi="Arial Unicode MS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3" w15:restartNumberingAfterBreak="0">
    <w:nsid w:val="17C93C70"/>
    <w:multiLevelType w:val="multilevel"/>
    <w:tmpl w:val="A51809E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0C7A90"/>
    <w:multiLevelType w:val="multilevel"/>
    <w:tmpl w:val="12E6667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20" w:hanging="1800"/>
      </w:pPr>
      <w:rPr>
        <w:rFonts w:hint="default"/>
      </w:rPr>
    </w:lvl>
  </w:abstractNum>
  <w:abstractNum w:abstractNumId="5" w15:restartNumberingAfterBreak="0">
    <w:nsid w:val="30D80328"/>
    <w:multiLevelType w:val="multilevel"/>
    <w:tmpl w:val="946A3CB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A63A1E"/>
    <w:multiLevelType w:val="multilevel"/>
    <w:tmpl w:val="F77C15D6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8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8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1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1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5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5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900" w:hanging="1800"/>
      </w:pPr>
      <w:rPr>
        <w:rFonts w:hint="eastAsia"/>
      </w:rPr>
    </w:lvl>
  </w:abstractNum>
  <w:num w:numId="1" w16cid:durableId="1762488142">
    <w:abstractNumId w:val="3"/>
  </w:num>
  <w:num w:numId="2" w16cid:durableId="1666279963">
    <w:abstractNumId w:val="1"/>
  </w:num>
  <w:num w:numId="3" w16cid:durableId="708918995">
    <w:abstractNumId w:val="5"/>
  </w:num>
  <w:num w:numId="4" w16cid:durableId="320279959">
    <w:abstractNumId w:val="4"/>
  </w:num>
  <w:num w:numId="5" w16cid:durableId="1587032255">
    <w:abstractNumId w:val="0"/>
  </w:num>
  <w:num w:numId="6" w16cid:durableId="42367532">
    <w:abstractNumId w:val="6"/>
  </w:num>
  <w:num w:numId="7" w16cid:durableId="1613588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973"/>
    <w:rsid w:val="000B3BAD"/>
    <w:rsid w:val="00200756"/>
    <w:rsid w:val="0023639A"/>
    <w:rsid w:val="002C6883"/>
    <w:rsid w:val="00566B27"/>
    <w:rsid w:val="00574D23"/>
    <w:rsid w:val="00724DD0"/>
    <w:rsid w:val="009C46E0"/>
    <w:rsid w:val="00AA350F"/>
    <w:rsid w:val="00AB2D74"/>
    <w:rsid w:val="00B61BB4"/>
    <w:rsid w:val="00E73973"/>
    <w:rsid w:val="00F30171"/>
    <w:rsid w:val="00FE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7E1771B"/>
  <w15:docId w15:val="{6D2B42CF-6C1C-47C4-B45A-DAC9963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TableParagraph">
    <w:name w:val="Table Paragraph"/>
    <w:qFormat/>
    <w:pPr>
      <w:widowControl w:val="0"/>
      <w:autoSpaceDE w:val="0"/>
      <w:autoSpaceDN w:val="0"/>
      <w:ind w:left="100"/>
    </w:pPr>
    <w:rPr>
      <w:rFonts w:ascii="함초롬바탕" w:eastAsia="함초롬바탕" w:hAnsi="Arial Unicode MS" w:cs="함초롬바탕"/>
      <w:color w:val="000000"/>
    </w:rPr>
  </w:style>
  <w:style w:type="paragraph" w:styleId="ae">
    <w:name w:val="List Paragraph"/>
    <w:basedOn w:val="a"/>
    <w:uiPriority w:val="99"/>
    <w:locked/>
    <w:rsid w:val="00200756"/>
    <w:pPr>
      <w:ind w:leftChars="400" w:left="800"/>
    </w:pPr>
  </w:style>
  <w:style w:type="character" w:styleId="af">
    <w:name w:val="Unresolved Mention"/>
    <w:basedOn w:val="a0"/>
    <w:uiPriority w:val="99"/>
    <w:semiHidden/>
    <w:unhideWhenUsed/>
    <w:rsid w:val="00200756"/>
    <w:rPr>
      <w:color w:val="605E5C"/>
      <w:shd w:val="clear" w:color="auto" w:fill="E1DFDD"/>
    </w:rPr>
  </w:style>
  <w:style w:type="table" w:styleId="af0">
    <w:name w:val="Table Grid"/>
    <w:basedOn w:val="a1"/>
    <w:uiPriority w:val="59"/>
    <w:qFormat/>
    <w:locked/>
    <w:rsid w:val="00FE33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Yomi160928@nav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hgege@nav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geester05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kyleejun@naver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붙임 6</vt:lpstr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붙임 6</dc:title>
  <dc:creator>localadmin</dc:creator>
  <cp:lastModifiedBy>Hankyu Lee</cp:lastModifiedBy>
  <cp:revision>3</cp:revision>
  <dcterms:created xsi:type="dcterms:W3CDTF">2026-08-22T07:12:00Z</dcterms:created>
  <dcterms:modified xsi:type="dcterms:W3CDTF">2026-08-22T11:38:00Z</dcterms:modified>
</cp:coreProperties>
</file>