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 w:before="0"/>
        <w:jc w:val="center"/>
      </w:pPr>
      <w:r>
        <w:rPr>
          <w:rFonts w:ascii="Times New Roman" w:hAnsi="Times New Roman" w:eastAsia="맑은 고딕"/>
          <w:b/>
          <w:i w:val="0"/>
          <w:sz w:val="32"/>
        </w:rPr>
        <w:t>배가스 CO₂ 포집을 위한 MTV-ZIF-69의 전산 설계</w:t>
      </w:r>
    </w:p>
    <w:p>
      <w:pPr>
        <w:spacing w:line="240" w:lineRule="auto" w:after="200" w:before="0"/>
        <w:jc w:val="center"/>
      </w:pPr>
      <w:r>
        <w:rPr>
          <w:rFonts w:ascii="Times New Roman" w:hAnsi="Times New Roman" w:eastAsia="맑은 고딕"/>
          <w:b w:val="0"/>
          <w:i w:val="0"/>
          <w:sz w:val="24"/>
        </w:rPr>
        <w:t>흡착 · 수분 경쟁 · 재생 · 구조 안정성의 통합 평가</w:t>
      </w:r>
    </w:p>
    <w:p>
      <w:pPr>
        <w:spacing w:line="240" w:lineRule="auto" w:after="60" w:before="0"/>
      </w:pPr>
      <w:r>
        <w:rPr>
          <w:rFonts w:ascii="Times New Roman" w:hAnsi="Times New Roman" w:eastAsia="맑은 고딕"/>
          <w:b/>
          <w:i w:val="0"/>
          <w:sz w:val="23"/>
        </w:rPr>
        <w:t>초록</w:t>
      </w:r>
    </w:p>
    <w:p>
      <w:pPr>
        <w:spacing w:line="240" w:lineRule="auto" w:after="20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gme 위상 ZIF-69의 벤조이미다졸레이트 링커에 술폰산기를 부분 치환한 다변량 골격을 설계하고, 배가스 조건(0.15 bar CO₂, 298 K)에서 건조 흡착·수분 경쟁·재생 작업 용량·구조 안정성을 동일 프로토콜로 평가했다. 흡착열은 치환율에 따라 22.4에서 34.0 kJ/mol까지 오르지만, 같은 작용기가 물을 함께 붙잡고 공동을 잠식한다. 구조 안정성 관문은 치환율 58.3%에서 닫히고 흡착 목표대는 87.5%에서 열려 두 창이 겹치지 않으며, 그 제약 안에서의 최적은 58.3%로 습윤 작업 용량이 모체 대비 +77%다. 술폰산과 니트로기를 혼합하면 두 창이 처음으로 겹친다.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1. 서론 — 포집 물질에 요구되는 것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석탄화력 배가스는 CO₂ 분압이 약 </w:t>
      </w:r>
      <w:r>
        <w:rPr>
          <w:rFonts w:ascii="Times New Roman" w:hAnsi="Times New Roman" w:eastAsia="맑은 고딕"/>
          <w:b/>
          <w:i w:val="0"/>
          <w:sz w:val="22"/>
        </w:rPr>
        <w:t>0.15 bar</w:t>
      </w:r>
      <w:r>
        <w:rPr>
          <w:rFonts w:ascii="Times New Roman" w:hAnsi="Times New Roman" w:eastAsia="맑은 고딕"/>
          <w:b w:val="0"/>
          <w:i w:val="0"/>
          <w:sz w:val="22"/>
        </w:rPr>
        <w:t xml:space="preserve">이고 나머지 대부분이 N₂이며, 298 K에서 상대습도가 90%에 이르는 수증기를 동반한다. 이 조건에서 흡착제가 만족해야 하는 것은 흡착량 하나가 아니다. 실제 공정은 붙였다 떼는 순환이므로, 성능의 최종 척도는 한 사이클에 실어 나르는 양 — </w:t>
      </w:r>
      <w:r>
        <w:rPr>
          <w:rFonts w:ascii="Times New Roman" w:hAnsi="Times New Roman" w:eastAsia="맑은 고딕"/>
          <w:b/>
          <w:i w:val="0"/>
          <w:sz w:val="22"/>
        </w:rPr>
        <w:t>작업 용량(working capacity) = 흡착 로딩 − 탈착 로딩</w:t>
      </w:r>
      <w:r>
        <w:rPr>
          <w:rFonts w:ascii="Times New Roman" w:hAnsi="Times New Roman" w:eastAsia="맑은 고딕"/>
          <w:b w:val="0"/>
          <w:i w:val="0"/>
          <w:sz w:val="22"/>
        </w:rPr>
        <w:t xml:space="preserve"> — 이다.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여기서 흡착 세기와 재생 용이성이 서로 맞선다. 등량 흡착열 </w:t>
      </w:r>
      <w:r>
        <w:rPr>
          <w:rFonts w:ascii="Times New Roman" w:hAnsi="Times New Roman" w:eastAsia="맑은 고딕"/>
          <w:b/>
          <w:i w:val="0"/>
          <w:sz w:val="22"/>
        </w:rPr>
        <w:t>Q_st</w:t>
      </w:r>
      <w:r>
        <w:rPr>
          <w:rFonts w:ascii="Times New Roman" w:hAnsi="Times New Roman" w:eastAsia="맑은 고딕"/>
          <w:b w:val="0"/>
          <w:i w:val="0"/>
          <w:sz w:val="22"/>
        </w:rPr>
        <w:t xml:space="preserve">가 클수록 낮은 분압에서도 잘 붙지만, 흡착은 기체가 자유도를 잃는 과정이라 ΔS &lt; 0이고 ΔG = ΔH − TΔS에서 결합이 강할수록 떼어내는 데 더 큰 온도나 더 낮은 압력이 필요하다. 두 요구를 함께 만족하는 창이 </w:t>
      </w:r>
      <w:r>
        <w:rPr>
          <w:rFonts w:ascii="Times New Roman" w:hAnsi="Times New Roman" w:eastAsia="맑은 고딕"/>
          <w:b/>
          <w:i w:val="0"/>
          <w:sz w:val="22"/>
        </w:rPr>
        <w:t>Q_st 30~40 kJ/mol</w:t>
      </w:r>
      <w:r>
        <w:rPr>
          <w:rFonts w:ascii="Times New Roman" w:hAnsi="Times New Roman" w:eastAsia="맑은 고딕"/>
          <w:b w:val="0"/>
          <w:i w:val="0"/>
          <w:sz w:val="22"/>
        </w:rPr>
        <w:t>이며, 본 연구는 이를 사전 목표대로 등록하고 출발했다.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물은 별도의 제약이 아니라 같은 자리를 두고 다투는 경쟁자다. 물의 물리흡착 엔탈피 최대치는 약 </w:t>
      </w:r>
      <w:r>
        <w:rPr>
          <w:rFonts w:ascii="Times New Roman" w:hAnsi="Times New Roman" w:eastAsia="맑은 고딕"/>
          <w:b/>
          <w:i w:val="0"/>
          <w:sz w:val="22"/>
        </w:rPr>
        <w:t>−59 kJ/mol</w:t>
      </w:r>
      <w:r>
        <w:rPr>
          <w:rFonts w:ascii="Times New Roman" w:hAnsi="Times New Roman" w:eastAsia="맑은 고딕"/>
          <w:b w:val="0"/>
          <w:i w:val="0"/>
          <w:sz w:val="22"/>
        </w:rPr>
        <w:t>로, 본 연구에서 얻은 어떤 조성의 CO₂ Q_st(22~34)보다도 크다. 따라서 CO₂를 더 세게 잡기 위해 극성 자리를 늘리면 그 자리는 물을 더 세게 잡는다. 이 긴장이 본 보고서를 관통하는 주제이며, 건조 조건의 우수성이 습윤 조건에서 유지되는지를 별도로 검증해야 하는 이유다.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본 연구는 gme 위상의 ZIF-69를 모체로 삼아 링커의 염소 자리를 술폰산으로 부분 치환한 다변량(MTV) 계열을 설계하고, </w:t>
      </w:r>
      <w:r>
        <w:rPr>
          <w:rFonts w:ascii="Times New Roman" w:hAnsi="Times New Roman" w:eastAsia="맑은 고딕"/>
          <w:b/>
          <w:i w:val="0"/>
          <w:sz w:val="22"/>
        </w:rPr>
        <w:t>건조 흡착 → 수분 경쟁 → 작업 용량 → 구조 안정성</w:t>
      </w:r>
      <w:r>
        <w:rPr>
          <w:rFonts w:ascii="Times New Roman" w:hAnsi="Times New Roman" w:eastAsia="맑은 고딕"/>
          <w:b w:val="0"/>
          <w:i w:val="0"/>
          <w:sz w:val="22"/>
        </w:rPr>
        <w:t>의 네 축에서 평가했다. 각 축의 판정 기준은 계산 이전에 등록했고 결과를 본 뒤 수정하지 않았다.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2. 흡착을 지배하는 두 힘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골격과 CO₂ 사이에 작용하는 힘은 분산력과 정전기 상호작용 둘이다. 분산력은 순간 쌍극자의 상관에서 나오며 거리에 대해 </w:t>
      </w:r>
      <w:r>
        <w:rPr>
          <w:rFonts w:ascii="Times New Roman" w:hAnsi="Times New Roman" w:eastAsia="맑은 고딕"/>
          <w:b/>
          <w:i w:val="0"/>
          <w:sz w:val="22"/>
        </w:rPr>
        <w:t>r⁻⁶</w:t>
      </w:r>
      <w:r>
        <w:rPr>
          <w:rFonts w:ascii="Times New Roman" w:hAnsi="Times New Roman" w:eastAsia="맑은 고딕"/>
          <w:b w:val="0"/>
          <w:i w:val="0"/>
          <w:sz w:val="22"/>
        </w:rPr>
        <w:t>로 감쇠한다. 감쇠가 가파르기 때문에 분자가 벽에 가까울수록, 즉 기공이 좁을수록 유리하다. 반면 정전기 상호작용은 감쇠가 완만해 기공이 넓어도 작동하지만, 상대 분자가 영구 전하 분포를 가져야 한다.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CO₂는 쌍극자가 없고 </w:t>
      </w:r>
      <w:r>
        <w:rPr>
          <w:rFonts w:ascii="Times New Roman" w:hAnsi="Times New Roman" w:eastAsia="맑은 고딕"/>
          <w:b/>
          <w:i w:val="0"/>
          <w:sz w:val="22"/>
        </w:rPr>
        <w:t>사중극자(quadrupole)</w:t>
      </w:r>
      <w:r>
        <w:rPr>
          <w:rFonts w:ascii="Times New Roman" w:hAnsi="Times New Roman" w:eastAsia="맑은 고딕"/>
          <w:b w:val="0"/>
          <w:i w:val="0"/>
          <w:sz w:val="22"/>
        </w:rPr>
        <w:t>를 갖는다. 본 모델에서 CO₂의 사중극자는 −0.876 e·Å², N₂는 −0.245 e·Å²로 3.6배 크다. 골격에 국소적으로 강한 전기장을 만들면 CO₂만 선택적으로 더 붙잡을 수 있고, 이것이 극성 작용기를 도입하는 논리다.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두 힘의 기여는 골격 전하를 켜고 끈 두 번의 계산을 차분해 분리할 수 있다. Lennard-Jones 항은 전하와 무관하므로 상쇄되고 정전기 항만 남는다. 본 계열에서 정전기가 전체 흡착에 기여하는 비율은 무치환 모체의 41.2 ± 2.3%에서 술폰산 100%의 69.1 ± 1.1%까지 증가한다</w:t>
      </w:r>
      <w:r>
        <w:rPr>
          <w:rFonts w:ascii="Times New Roman" w:hAnsi="Times New Roman" w:eastAsia="맑은 고딕"/>
          <w:b w:val="0"/>
          <w:i w:val="0"/>
          <w:sz w:val="22"/>
        </w:rPr>
        <w:t>(v2 세대 밀도맵)</w:t>
      </w:r>
      <w:r>
        <w:rPr>
          <w:rFonts w:ascii="Times New Roman" w:hAnsi="Times New Roman" w:eastAsia="맑은 고딕"/>
          <w:b w:val="0"/>
          <w:i w:val="0"/>
          <w:sz w:val="22"/>
        </w:rPr>
        <w:t>. 즉 치환의 이득은 주로 정전기에서 오며, 이는 사중극자 논리와 정합한다.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3. 모체 선택과 치환 설계</w:t>
      </w:r>
    </w:p>
    <w:p>
      <w:pPr>
        <w:spacing w:line="240" w:lineRule="auto" w:after="80" w:before="140"/>
      </w:pPr>
      <w:r>
        <w:rPr>
          <w:rFonts w:ascii="Times New Roman" w:hAnsi="Times New Roman" w:eastAsia="맑은 고딕"/>
          <w:b/>
          <w:i w:val="0"/>
          <w:sz w:val="23"/>
        </w:rPr>
        <w:t>3.1 위상이 치환의 방향을 정한다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같은 작용기를 같은 밀도로 도입해도 골격 위상에 따라 결과가 반대로 나온다. sod 위상에서는 치환기가 6원환 창구를 향하므로 창구만 좁아지고 공동은 줄지 않아, 치환율을 올릴수록 흡착열이 오히려 감소한다.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gme 위상의 ZIF-69에서는 벤조 고리의 치환 자리가 </w:t>
      </w:r>
      <w:r>
        <w:rPr>
          <w:rFonts w:ascii="Times New Roman" w:hAnsi="Times New Roman" w:eastAsia="맑은 고딕"/>
          <w:b/>
          <w:i w:val="0"/>
          <w:sz w:val="22"/>
        </w:rPr>
        <w:t>공동 쪽</w:t>
      </w:r>
      <w:r>
        <w:rPr>
          <w:rFonts w:ascii="Times New Roman" w:hAnsi="Times New Roman" w:eastAsia="맑은 고딕"/>
          <w:b w:val="0"/>
          <w:i w:val="0"/>
          <w:sz w:val="22"/>
        </w:rPr>
        <w:t>을 향한다. 치환하면 공동이 줄고 창구는 남으므로 분산력과 정전기가 함께 증가한다. 모체를 sod에서 gme로 옮긴 것은 이 기하학적 사실에 근거한다.</w:t>
      </w:r>
    </w:p>
    <w:p>
      <w:pPr>
        <w:spacing w:line="240" w:lineRule="auto" w:after="80" w:before="140"/>
      </w:pPr>
      <w:r>
        <w:rPr>
          <w:rFonts w:ascii="Times New Roman" w:hAnsi="Times New Roman" w:eastAsia="맑은 고딕"/>
          <w:b/>
          <w:i w:val="0"/>
          <w:sz w:val="23"/>
        </w:rPr>
        <w:t>3.2 ZIF-69의 구조와 치환 자리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1. 무치환 ZIF-69 모체의 구조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값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화학식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Zn(nIm)(cbIm) × 24 (단위셀당 아연 24개)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링커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nIm = 2-니트로이미다졸레이트 / cbIm = 5-클로로벤조이미다졸레이트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단위셀 원자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600개 — Zn 24 · C 240 · N 120 · O 48 · Cl 24 · H 144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셀 파라미터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a = b = 26.084 Å, c = 19.408 Å, γ = 120° (육방정)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기공 지표</w:t>
            </w:r>
          </w:p>
        </w:tc>
        <w:tc>
          <w:tcPr>
            <w:tcW w:type="dxa" w:w="703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PLD 5.157 Å · LCD 8.90 Å · 접근가능부피 1232 Å³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ZIF-69는 서로 다른 링커 두 종을 이미 갖는 다변량 골격이며, 본 연구의 치환은 그중 벤조이미다졸레이트의 염소 자리를 술폰산으로 바꾸는 것이다. 치환 가능한 자리는 염소 원자 수와 같은 </w:t>
      </w:r>
      <w:r>
        <w:rPr>
          <w:rFonts w:ascii="Times New Roman" w:hAnsi="Times New Roman" w:eastAsia="맑은 고딕"/>
          <w:b/>
          <w:i w:val="0"/>
          <w:sz w:val="22"/>
        </w:rPr>
        <w:t>24개</w:t>
      </w:r>
      <w:r>
        <w:rPr>
          <w:rFonts w:ascii="Times New Roman" w:hAnsi="Times New Roman" w:eastAsia="맑은 고딕"/>
          <w:b w:val="0"/>
          <w:i w:val="0"/>
          <w:sz w:val="22"/>
        </w:rPr>
        <w:t>이므로, 치환율은 24의 약수 관계를 따르는 값만 정확히 구현된다. 한 자리가 4.167%p에 해당하며, 50%와 75% 사이에는 격자점이 다섯 개뿐이다.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염소 하나가 술폰산으로 치환되면 원자 수는 넷 증가하므로 </w:t>
      </w:r>
      <w:r>
        <w:rPr>
          <w:rFonts w:ascii="Times New Roman" w:hAnsi="Times New Roman" w:eastAsia="맑은 고딕"/>
          <w:b/>
          <w:i w:val="0"/>
          <w:sz w:val="22"/>
        </w:rPr>
        <w:t>원자 수 = 600 + 4 × (치환 자리 수)</w:t>
      </w:r>
      <w:r>
        <w:rPr>
          <w:rFonts w:ascii="Times New Roman" w:hAnsi="Times New Roman" w:eastAsia="맑은 고딕"/>
          <w:b w:val="0"/>
          <w:i w:val="0"/>
          <w:sz w:val="22"/>
        </w:rPr>
        <w:t>가 성립한다. 의도한 조성이 실제로 구현되었는지를 구조 파일만으로 확인하는 독립 검산으로 사용한다.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4. 계산 방법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흡착 물성은 강정준(μVT) 앙상블 몬테카를로 시뮬레이션(GCMC)으로 계산했다. 무한 희석 극한의 헨리 상수와 흡착열은 Widom 삽입으로 구했다. 골격 기하는 셀을 고정한 채 GFN-FF로 이완하고 부분전하를 다시 산출했으며, 기공 지표는 Zeo++로, 안정성 판정용 이완은 UFF4MOF로 수행했다. 설정은 아래 표와 같으며 전 계산에서 동일하다.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2. 계산 설정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항목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설정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앙상블 / 사이클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μVT GCMC, 초기화 5,000 + 생산 15,000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골격 힘장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UFF_MOF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CO₂ 모델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García-Sánchez 2009 — ε/k_B 29.933 K, σ 2.745 Å, q_C +0.6512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물 모델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TIP5P-Ew (5-site) — ε/k_B 89.633 K, σ 3.097 Å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골격 전하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PACMAN (DDEC6 재현), 전하합 |Σq| ≤ 1×10⁻⁴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컷오프 / 셀 / 정전기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12 Å / 2×2×2 / Ewald 1×10⁻⁶, Lorentz-Berthelot</w:t>
            </w:r>
          </w:p>
        </w:tc>
      </w:tr>
      <w:tr>
        <w:tc>
          <w:tcPr>
            <w:tcW w:type="dxa" w:w="215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기하 이완</w:t>
            </w:r>
          </w:p>
        </w:tc>
        <w:tc>
          <w:tcPr>
            <w:tcW w:type="dxa" w:w="691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GFN-FF, 셀 고정, FIRE (fmax 0.05 eV/Å)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 w:before="0"/>
        <w:ind w:left="227"/>
      </w:pPr>
      <w:r>
        <w:rPr>
          <w:rFonts w:ascii="Times New Roman" w:hAnsi="Times New Roman" w:eastAsia="맑은 고딕"/>
          <w:b w:val="0"/>
          <w:i w:val="0"/>
          <w:sz w:val="19"/>
        </w:rPr>
        <w:t>CO₂·N₂의 분자 기하는 TraPPE 정의에서 오지만 Lennard-Jones 계수와 부분전하는 위 표의 값을 사용했다. 따라서 손님 분자 힘장을 TraPPE로 표기하는 것은 정확하지 않다.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5. 건조 조건 흡착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0.15 bar CO₂, 298 K에서 술폰산 치환율에 따른 흡착 물성은 표 3과 같다. 치환율이 오르면 Q_st와 로딩이 함께 단조 증가하며, 인접 조성 간 차이는 모두 통계 오차의 여러 배다. 목표대 30~40 kJ/mol에 진입한 것은 치환율 75%와 100% 두 조성이다.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3. 건조 조건 흡착 물성 (298 K, 0.15 bar, 1σ 병기)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치환율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Q_st (kJ/mol)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0.15 bar 로딩 (mol/kg)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CO₂/N₂ 선택도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base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22.42 ± 0.11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0.5889 ± 0.0059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17.8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saIm025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25%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27.97 ± 0.10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0.9645 ± 0.0104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28.8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29.51 ± 0.19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1.2390 ± 0.0205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38.6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saIm075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75%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31.42 ± 0.22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1.3602 ± 0.0210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49.0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saIm100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34.01 ± 0.55</w:t>
            </w:r>
          </w:p>
        </w:tc>
        <w:tc>
          <w:tcPr>
            <w:tcW w:type="dxa" w:w="238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1.5429 ± 0.0357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102.2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대체 작용기와의 비교가 술폰산 선택의 근거를 준다. 니트로 100%는 28.87, 메틸설포닐 75%는 29.01로 모두 목표대에 미치지 못한다. 특히 메틸설포닐은 술폰산과 같은 설폰 골격을 가지면서도 성능이 낮은데, 이는 </w:t>
      </w:r>
      <w:r>
        <w:rPr>
          <w:rFonts w:ascii="Times New Roman" w:hAnsi="Times New Roman" w:eastAsia="맑은 고딕"/>
          <w:b/>
          <w:i w:val="0"/>
          <w:sz w:val="22"/>
        </w:rPr>
        <w:t>술폰산의 이점이 설폰기 자체가 아니라 수산기(−OH)의 수소결합 공여 능력에 있음</w:t>
      </w:r>
      <w:r>
        <w:rPr>
          <w:rFonts w:ascii="Times New Roman" w:hAnsi="Times New Roman" w:eastAsia="맑은 고딕"/>
          <w:b w:val="0"/>
          <w:i w:val="0"/>
          <w:sz w:val="22"/>
        </w:rPr>
        <w:t>을 시사한다. 이 해석은 6절의 수분 거동에서 다시 확인된다.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6. 수분 경쟁 — 같은 자리를 두고 다투는 두 분자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상대습도(RH)는 물의 절대량이 아니라 그 온도의 포화증기압에 대한 비율이다. 298 K에서 포화증기압은 약 3,169 Pa이므로 RH 90%는 물 분압 2,852 Pa에 해당한다. 배가스 조건에서 물의 분압은 CO₂ 분압의 약 1/5에 불과하지만, 결합 세기가 두 배 이상이므로 경쟁은 대등하지 않다.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술폰산이 CO₂를 붙잡는 기전은 수산기의 수소결합 공여인데, 수소결합 공여자는 물이 가장 잘 이용하는 자리이기도 하다. </w:t>
      </w:r>
      <w:r>
        <w:rPr>
          <w:rFonts w:ascii="Times New Roman" w:hAnsi="Times New Roman" w:eastAsia="맑은 고딕"/>
          <w:b/>
          <w:i w:val="0"/>
          <w:sz w:val="22"/>
        </w:rPr>
        <w:t>즉 CO₂를 잡는 기전과 물을 잡는 기전이 동일하며</w:t>
      </w:r>
      <w:r>
        <w:rPr>
          <w:rFonts w:ascii="Times New Roman" w:hAnsi="Times New Roman" w:eastAsia="맑은 고딕"/>
          <w:b w:val="0"/>
          <w:i w:val="0"/>
          <w:sz w:val="22"/>
        </w:rPr>
        <w:t xml:space="preserve">, 이것이 이 노선의 근본 딜레마다. 실제로 흡착 조건(298 K, RH 90%)에서 골격에 붙은 물과 CO₂의 몰비는 치환율에 따라 0.85 → 1.01 → 1.24 → 2.31로 증가한다. 앞의 세 계단은 완만하지만 </w:t>
      </w:r>
      <w:r>
        <w:rPr>
          <w:rFonts w:ascii="Times New Roman" w:hAnsi="Times New Roman" w:eastAsia="맑은 고딕"/>
          <w:b/>
          <w:i w:val="0"/>
          <w:sz w:val="22"/>
        </w:rPr>
        <w:t>75%에서 100%로 가는 마지막 계단만 두 배 가까이 뛴다</w:t>
      </w:r>
      <w:r>
        <w:rPr>
          <w:rFonts w:ascii="Times New Roman" w:hAnsi="Times New Roman" w:eastAsia="맑은 고딕"/>
          <w:b w:val="0"/>
          <w:i w:val="0"/>
          <w:sz w:val="22"/>
        </w:rPr>
        <w:t>. 흡착된 물이 다음 물의 수소결합 자리를 제공해 군집이 자라는 협동 효과로 해석되며, 이 비선형성 때문에 두 점을 이어 외삽하는 추정은 성립하지 않는다.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4. 수분 경쟁 (298 K, CO₂ 0.15 bar 고정, RH 0~90%, 1σ 병기)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건조 CO₂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RH90 CO₂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유지율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RH90 물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물/CO₂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base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0.5839 ± 0.0093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0.5743 ± 0.0097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98.4 ± 2.3%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0.489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0.85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saIm025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0.9708 ± 0.0147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0.7811 ± 0.0243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80.5 ± 2.8%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0.722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0.92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1.2297 ± 0.0231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0.9355 ± 0.0097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76.1 ± 1.6%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0.940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1.00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saIm075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1.3610 ± 0.0120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1.0470 ± 0.0280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76.9 ± 2.2%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1.242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1.19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saIm100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1.5410 ± 0.0225</w:t>
            </w:r>
          </w:p>
        </w:tc>
        <w:tc>
          <w:tcPr>
            <w:tcW w:type="dxa" w:w="164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0.9333 ± 0.0276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60.6 ± 2.0%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2.155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2.31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사전 등록한 판정 기준(RH90 유지율 80% 이상 유효 / 50~80% 조건부 / 50% 미만 종료)에서 </w:t>
      </w:r>
      <w:r>
        <w:rPr>
          <w:rFonts w:ascii="Times New Roman" w:hAnsi="Times New Roman" w:eastAsia="맑은 고딕"/>
          <w:b/>
          <w:i w:val="0"/>
          <w:sz w:val="22"/>
        </w:rPr>
        <w:t>종료되는 조성은 없다</w:t>
      </w:r>
      <w:r>
        <w:rPr>
          <w:rFonts w:ascii="Times New Roman" w:hAnsi="Times New Roman" w:eastAsia="맑은 고딕"/>
          <w:b w:val="0"/>
          <w:i w:val="0"/>
          <w:sz w:val="22"/>
        </w:rPr>
        <w:t>. 유지율은 치환율에 따라 단조 감소하지 않는다 — 25~75% 구간은 서로 구별되지 않는 고원(76~80%, 인접 차이 1.36σ·1.00σ·0.31σ)이고, 100%에서만 유의하게 꺾인다(75→100%: 16.4 pp, 5.55σ). 이 꺾임은 6절의 물/CO₂ 몰비 계단과 같은 조성에서 나타난다.</w:t>
      </w:r>
    </w:p>
    <w:p>
      <w:pPr>
        <w:spacing w:line="240" w:lineRule="auto" w:after="120" w:before="0"/>
        <w:ind w:left="227"/>
      </w:pPr>
      <w:r>
        <w:rPr>
          <w:rFonts w:ascii="Times New Roman" w:hAnsi="Times New Roman" w:eastAsia="맑은 고딕"/>
          <w:b w:val="0"/>
          <w:i w:val="0"/>
          <w:sz w:val="19"/>
        </w:rPr>
        <w:t>이 결과는 독립적인 계산 환경에서 수행되었고, RH90 조건이 습윤 작업 용량의 흡착 조건과 같은 열역학점이어서 교차 검증이 가능했다. 여덟 개 비교가 모두 1σ 이내로 일치했으며, 치환율 100%에서는 소수점 셋째 자리까지 같았다(CO₂ 0.9333 vs 0.9336, 물 2.1548 vs 2.1561).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7. 재생과 작업 용량</w:t>
      </w:r>
    </w:p>
    <w:p>
      <w:pPr>
        <w:spacing w:line="240" w:lineRule="auto" w:after="80" w:before="140"/>
      </w:pPr>
      <w:r>
        <w:rPr>
          <w:rFonts w:ascii="Times New Roman" w:hAnsi="Times New Roman" w:eastAsia="맑은 고딕"/>
          <w:b/>
          <w:i w:val="0"/>
          <w:sz w:val="23"/>
        </w:rPr>
        <w:t>7.1 온도 스윙과 진공 스윙의 열역학적 차이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재생 방식은 둘이다. 온도 스윙(TSA)은 373 K로 승온해 −TΔS 항이 ΔH를 이기게 만들고, 진공 스윙(VSA)은 CO₂ 분압을 0.05 bar로 낮춰 기상의 화학퍼텐셜을 내린다. 두 방식은 물에 대해 정반대로 행동한다.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공정에서 기체 흐름의 수분 함량은 베드를 데운다고 변하지 않으므로, 물 분압을 2,852 Pa로 고정한 채 온도만 올리면 분모인 포화증기압이 101,325 Pa로 32배가 되어 </w:t>
      </w:r>
      <w:r>
        <w:rPr>
          <w:rFonts w:ascii="Times New Roman" w:hAnsi="Times New Roman" w:eastAsia="맑은 고딕"/>
          <w:b/>
          <w:i w:val="0"/>
          <w:sz w:val="22"/>
        </w:rPr>
        <w:t>상대습도가 90%에서 2.8%로 떨어진다</w:t>
      </w:r>
      <w:r>
        <w:rPr>
          <w:rFonts w:ascii="Times New Roman" w:hAnsi="Times New Roman" w:eastAsia="맑은 고딕"/>
          <w:b w:val="0"/>
          <w:i w:val="0"/>
          <w:sz w:val="22"/>
        </w:rPr>
        <w:t>. 물 분자의 수는 그대로인데 응축하려는 경향만 사라지는 것이다. 그 결과 TSA는 별도의 전처리 건조 없이 재생 과정이 건조를 겸한다. 반면 VSA는 온도가 유지되어 RH 90%가 그대로이고, CO₂가 비운 자리를 물이 채운다.</w:t>
      </w:r>
    </w:p>
    <w:p>
      <w:pPr>
        <w:spacing w:line="240" w:lineRule="auto" w:after="80" w:before="140"/>
      </w:pPr>
      <w:r>
        <w:rPr>
          <w:rFonts w:ascii="Times New Roman" w:hAnsi="Times New Roman" w:eastAsia="맑은 고딕"/>
          <w:b/>
          <w:i w:val="0"/>
          <w:sz w:val="23"/>
        </w:rPr>
        <w:t>7.2 습윤 조건의 작업 용량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5. 습윤 작업 용량 (mol/kg, 1σ 병기). 작업 용량의 오차는 두 로딩 오차의 제곱합근이다.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습윤 TSA WC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습윤 VSA WC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건조 TSA WC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습윤/건조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H₂O/CO₂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물 제거율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base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0.469 ± 0.012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0.352 ± 0.013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0.4845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96.8%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0.85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85.7%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0.768 ± 0.018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0.557 ± 0.021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1.0625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72.3%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1.01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88.7%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saIm075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0.833 ± 0.022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0.580 ± 0.027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1.1468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72.6%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1.24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89.5%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saIm100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0.688 ± 0.024</w:t>
            </w:r>
          </w:p>
        </w:tc>
        <w:tc>
          <w:tcPr>
            <w:tcW w:type="dxa" w:w="153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0.498 ± 0.042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1.2976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53.0%</w:t>
            </w:r>
          </w:p>
        </w:tc>
        <w:tc>
          <w:tcPr>
            <w:tcW w:type="dxa" w:w="96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2.31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77.6%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건조 조건에서 세 축(Q_st·로딩·건조 작업 용량) 모두 1위였던 saIm100이 습윤 조건에서는 최하위가 된다. 세 조성 간 간격은 모두 2.3σ 이상이므로 순위를 말할 수 있으며, 습윤 순위는 </w:t>
      </w:r>
      <w:r>
        <w:rPr>
          <w:rFonts w:ascii="Times New Roman" w:hAnsi="Times New Roman" w:eastAsia="맑은 고딕"/>
          <w:b/>
          <w:i w:val="0"/>
          <w:sz w:val="22"/>
        </w:rPr>
        <w:t>saIm075 &gt; saIm050 &gt; saIm100</w:t>
      </w:r>
      <w:r>
        <w:rPr>
          <w:rFonts w:ascii="Times New Roman" w:hAnsi="Times New Roman" w:eastAsia="맑은 고딕"/>
          <w:b w:val="0"/>
          <w:i w:val="0"/>
          <w:sz w:val="22"/>
        </w:rPr>
        <w:t>이다. 건조 대비 유지 비율에서 saIm100만 53.0%로 떨어지는데, 이는 6절의 물/CO₂ 몰비 계단과 같은 조성에서 나타난다.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재생 쪽에서도 치환율 100%만 다르다. 승온으로 제거되는 물의 비율이 다른 조성에서는 86~90%인데 이 조성은 77.6%에 그쳐, 사이클을 반복하면 베드에 축적된다. 진공 재생에서는 네 조성 모두 물이 오히려 증가한다(+5~13%) — 압력은 물의 화학퍼텐셜을 거의 건드리지 못하기 때문이며, 이 계열에서 TSA를 기준 공정으로 보는 근거다.</w:t>
      </w:r>
    </w:p>
    <w:p>
      <w:pPr>
        <w:spacing w:line="240" w:lineRule="auto" w:after="80" w:before="140"/>
      </w:pPr>
      <w:r>
        <w:rPr>
          <w:rFonts w:ascii="Times New Roman" w:hAnsi="Times New Roman" w:eastAsia="맑은 고딕"/>
          <w:b/>
          <w:i w:val="0"/>
          <w:sz w:val="23"/>
        </w:rPr>
        <w:t>7.3 재생 에너지 수지 — 지배항은 흡착열이 아니다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재생에 드는 열은 세 항의 합이다. 흡착열(CO₂를 떼어내는 화학적 대가), 현열(골격을 298에서 373 K로 데우는 비용), 그리고 전처리 건조를 할 경우의 잠열이다. 현열은 가열량을 그 사이클에 실어 나른 CO₂로 나눈 값이므로 작업 용량에 반비례한다.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6. TSA 재생 에너지 수지 (Cp 0.9 J/g·K, 열회수 0%, 회수율 50%)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 · 방식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Q_st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현열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건조 잠열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합계 (kJ/mol CO₂)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base · 젖은 채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22.42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143.9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166.3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base · 말려서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22.42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139.3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16.7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178.5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 · 젖은 채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29.51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87.9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117.4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saIm075 · 젖은 채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31.42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81.0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112.4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saIm100 · 젖은 채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34.01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98.1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132.1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saIm100 · 말려서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34.01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52.0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16.7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102.8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흡착열이 21~34인 데 비해 현열은 52~144로 </w:t>
      </w:r>
      <w:r>
        <w:rPr>
          <w:rFonts w:ascii="Times New Roman" w:hAnsi="Times New Roman" w:eastAsia="맑은 고딕"/>
          <w:b/>
          <w:i w:val="0"/>
          <w:sz w:val="22"/>
        </w:rPr>
        <w:t>2~5배 크다</w:t>
      </w:r>
      <w:r>
        <w:rPr>
          <w:rFonts w:ascii="Times New Roman" w:hAnsi="Times New Roman" w:eastAsia="맑은 고딕"/>
          <w:b w:val="0"/>
          <w:i w:val="0"/>
          <w:sz w:val="22"/>
        </w:rPr>
        <w:t>. 따라서 총 에너지를 정하는 것은 결합을 얼마나 강하게 만드느냐가 아니라 같은 가열량을 몇 몰의 CO₂에 나누느냐다. 치환의 이득은 흡착열을 올린 데 있는 것이 아니라 작업 용량을 올려 현열을 희석시킨 데 있다.</w:t>
      </w:r>
    </w:p>
    <w:p>
      <w:pPr>
        <w:spacing w:line="240" w:lineRule="auto" w:after="120" w:before="0"/>
        <w:ind w:left="227"/>
      </w:pPr>
      <w:r>
        <w:rPr>
          <w:rFonts w:ascii="Times New Roman" w:hAnsi="Times New Roman" w:eastAsia="맑은 고딕"/>
          <w:b w:val="0"/>
          <w:i w:val="0"/>
          <w:sz w:val="19"/>
        </w:rPr>
        <w:t>골격 비열 0.9 J/(g·K)는 이 계열의 실측이 아니라 문헌 대표값이며, 0.6~1.2 구간에서 합계가 1.6~1.8배 움직인다. 열교환 회수를 0%로 둔 보수적 하한이다. 감도 분석 없이 절대값을 인용해서는 안 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8. 구조 안정성 관문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흡착 성능이 아무리 좋아도 골격이 기공을 유지하지 못하면 후보가 될 수 없다. 이 관문은 순위를 만들지 않고 탈락만 시킨다. 판정 기준은 계산 이전에 등록했다: 창구 지름(PLD) 3.3 Å 이하, 접근가능부피 20 Å³ 미만, 최소 원자간 거리 0.7 Å 미만, 그리고 최대 공동 지름(LCD) 감소 20% 초과.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여기서 LCD 감소는 이완 전후의 변화가 아니라 </w:t>
      </w:r>
      <w:r>
        <w:rPr>
          <w:rFonts w:ascii="Times New Roman" w:hAnsi="Times New Roman" w:eastAsia="맑은 고딕"/>
          <w:b/>
          <w:i w:val="0"/>
          <w:sz w:val="22"/>
        </w:rPr>
        <w:t>이완된 무치환 모체의 공동 대비 해당 조성의 공동이 얼마나 좁은가</w:t>
      </w:r>
      <w:r>
        <w:rPr>
          <w:rFonts w:ascii="Times New Roman" w:hAnsi="Times New Roman" w:eastAsia="맑은 고딕"/>
          <w:b w:val="0"/>
          <w:i w:val="0"/>
          <w:sz w:val="22"/>
        </w:rPr>
        <w:t>를 뜻한다. 모체 자신도 이완 과정에서 LCD가 8.898 Å에서 7.631 Å로 줄기 때문에 기준선은 고정된 값이 아니라 같은 프로토콜에서 함께 산출된다.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7. 구조 안정성 관문 결과 (전체 31종 중 28종 통과)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LCD 감소 (모체 대비)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판정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탈락 기준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saIm025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6.69%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13.75%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통과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saIm075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20.26%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LCD 감소 20% 초과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mslm075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21.67%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LCD 감소 20% 초과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saIm100</w:t>
            </w:r>
          </w:p>
        </w:tc>
        <w:tc>
          <w:tcPr>
            <w:tcW w:type="dxa" w:w="260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22.50%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  <w:tc>
          <w:tcPr>
            <w:tcW w:type="dxa" w:w="3402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LCD 감소 20% 초과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탈락한 세 종은 모두 공동 감소 단일 기준에서 걸렸고 창구·부피·최소거리는 통과했다. 골격이 파탄난 것이 아니라 치환기가 공동을 과도하게 채운 것이다. 문제는 목표대에 진입한 두 조성이 그대로 탈락 목록이라는 점이며, 관문을 통과한 조성 중 최고 흡착열은 29.51 kJ/mol로 문턱 바로 아래다. 한편 이 관문의 이완은 수렴에 이르지 않으므로(진동하여 반복 상한에서 정지) 결과는 정밀한 기하 값이 아니라 심한 불안정성의 선별로 읽어야 한다.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경계 조성에 대해 반복 상한을 12·24·36으로 바꾸어 재계산한 결과 공동 감소는 각각 20.26·20.20·20.32%였다. 예산을 3배로 늘리고 에너지 변화량을 12배 낮추어도 답은 </w:t>
      </w:r>
      <w:r>
        <w:rPr>
          <w:rFonts w:ascii="Times New Roman" w:hAnsi="Times New Roman" w:eastAsia="맑은 고딕"/>
          <w:b/>
          <w:i w:val="0"/>
          <w:sz w:val="22"/>
        </w:rPr>
        <w:t>±0.06%p</w:t>
      </w:r>
      <w:r>
        <w:rPr>
          <w:rFonts w:ascii="Times New Roman" w:hAnsi="Times New Roman" w:eastAsia="맑은 고딕"/>
          <w:b w:val="0"/>
          <w:i w:val="0"/>
          <w:sz w:val="22"/>
        </w:rPr>
        <w:t xml:space="preserve"> 안에 머물렀으므로, 경계 조성의 0.26%p 초과는 이완 예산의 인공물이 아니다. 판정은 사전 등록 기준대로 유지된다.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9. 조성 격자 — 두 경계가 겹치는 구간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세 축의 경계가 모두 치환율 50%와 75% 사이에 놓인다. 흡착이 목표대 문턱을 넘는 지점(29.51과 31.42 사이), 구조가 안정성 관문을 넘지 못하는 지점(13.75%와 20.26% 사이), 습윤 성능이 꺾이기 시작하는 지점이 모두 같은 구간이다. 25% 간격의 조성 축으로는 이 구간 안에서 아무것도 말할 수 없다.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치환 자리가 24개이므로 이 구간의 격자점은 다섯 개(12/24~18/24)뿐이다. 그중 58.3%(14자리), 62.5%(15자리), 66.7%(16자리)와 대조를 위한 87.5%(21자리)를 선정해 구조를 생성하고 조성 개수·충돌·고아 원자 검사를 통과시켰다. 62.5%가 흡착 목표대와 안정성 관문을 동시에 넘는지가 현재 남은 물음이다.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8. 조성 격자 — 두 문턱의 위치 (치환 자리 24개, 한 칸 4.17%p)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치환율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Q_st (kJ/mol)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LCD 감소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안정성 관문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50%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29.51 ± 0.19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13.75%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통과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saIm0583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58.3%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28.75 ± 0.18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15.71%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통과 (마지막)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saIm0625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62.5%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28.92 ± 0.19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20.87%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saIm0667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66.7%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29.59 ± 0.29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20.65%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saIm075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75%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31.42 ± 0.22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20.26%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saIm0875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87.5%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31.12 ± 0.53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21.21%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탈락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안정성 관문은 58.3%와 62.5% 사이, 치환 자리 단 한 칸에서 15.71 → 20.87%로 뛰며 닫힌다. 그 위로는 62.5~100% 전 구간이 20.3~22.5%의 고원을 이루므로, 이는 점진적 악화가 아니라 문턱 현상이다. 반면 흡착 목표대는 87.5%에서야 열린다. </w:t>
      </w:r>
      <w:r>
        <w:rPr>
          <w:rFonts w:ascii="Times New Roman" w:hAnsi="Times New Roman" w:eastAsia="맑은 고딕"/>
          <w:b/>
          <w:i w:val="0"/>
          <w:sz w:val="22"/>
        </w:rPr>
        <w:t>두 창은 격자점 두 칸 이상 어긋나 있으며, 술폰산 단독 치환으로는 겹치지 않는다.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이 계단의 크기는 프로토콜 민감도(±0.06%p)의 80배이므로 수치 잡음이 아니다. 링커의 입체 지수가 골격 위상을 결정한다는 원리에 비추면, 이 불연속은 골격이 변형된 것이 아니라 해당 조성이 본래 이 위상으로 결정화하지 않는다는 신호로 읽는 편이 정합적이다. 그 경우 이 관문은 구조 변형의 척도가 아니라 합성 가능성의 대리 지표가 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10. 제약 하 최적 조성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네 축의 결과를 겹치면 최적 조성이 축마다 이동한다. 건조 흡착에서는 치환율이 높을수록 좋고, 구조 안정성은 58.3%까지만 통과하며, 습윤 작업 용량은 그 경계에서 최대가 된다. 판정 기준은 계산 이전에 등록했다 — 승자 지표는 습윤 TSA 작업 용량이고, 차이가 1.5σ 미만이면 순위를 매기지 않는다.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9. 두 관문을 통과한 조성의 완전 비교 (mol/kg, 1σ 병기)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습윤 TSA WC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건조 TSA WC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Q_st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LCD 감소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RH90 유지율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base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0.4692 ± 0.0119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0.4845 ± 0.0112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22.42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0.00%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98.4%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saIm025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0.6357 ± 0.0124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0.8074 ± 0.0182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27.97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6.69%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80.5%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0.7680 ± 0.0177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1.0625 ± 0.0146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29.51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13.75%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76.1%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saIm0583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0.8328 ± 0.0252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1.1267 ± 0.0258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28.75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15.71%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(미측정)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**치환율 58.3%(saIm0583)가 최적이다.** 습윤 TSA 작업 용량 0.8328 ± 0.0252 mol/kg으로 무치환 모체 대비 </w:t>
      </w:r>
      <w:r>
        <w:rPr>
          <w:rFonts w:ascii="Times New Roman" w:hAnsi="Times New Roman" w:eastAsia="맑은 고딕"/>
          <w:b/>
          <w:i w:val="0"/>
          <w:sz w:val="22"/>
        </w:rPr>
        <w:t>+77%</w:t>
      </w:r>
      <w:r>
        <w:rPr>
          <w:rFonts w:ascii="Times New Roman" w:hAnsi="Times New Roman" w:eastAsia="맑은 고딕"/>
          <w:b w:val="0"/>
          <w:i w:val="0"/>
          <w:sz w:val="22"/>
        </w:rPr>
        <w:t>이며, 2위와의 차이가 2.10σ로 단독 1위다. 인접 조성 간 간격이 모두 1.5σ를 넘으므로(2.10σ / 6.12σ / 9.69σ) 네 조성의 서열을 전부 말할 수 있다. 건조 작업 용량에서도 1위이며 2위와 2.2σ 차이다.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다만 이 조성의 흡착열은 28.75 kJ/mol로 </w:t>
      </w:r>
      <w:r>
        <w:rPr>
          <w:rFonts w:ascii="Times New Roman" w:hAnsi="Times New Roman" w:eastAsia="맑은 고딕"/>
          <w:b/>
          <w:i w:val="0"/>
          <w:sz w:val="22"/>
        </w:rPr>
        <w:t>목표대에 들지 못한다</w:t>
      </w:r>
      <w:r>
        <w:rPr>
          <w:rFonts w:ascii="Times New Roman" w:hAnsi="Times New Roman" w:eastAsia="맑은 고딕"/>
          <w:b w:val="0"/>
          <w:i w:val="0"/>
          <w:sz w:val="22"/>
        </w:rPr>
        <w:t>. 목표대에 진입한 조성은 모두 구조 안정성 관문에서 탈락했으므로, 이 최적값은 목표 달성이 아니라 주어진 제약 안에서의 최선으로 읽어야 한다. 이 조성의 RH90 유지율은 아직 측정하지 않았다 — 이웃 조성들이 76~80%의 고원을 이루므로 그 사이로 추정되나 확인된 값은 아니다.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11. 두 창을 겹치게 하는 설계 — 혼합 치환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9절의 간극은 술폰산 단독 치환에서 나온 결과다. 술폰산은 흡착열을 올리는 동시에 부피로 공동을 잠식하므로 두 요구가 같은 변수에 묶여 있다. 이를 분리하기 위해, 술폰산을 안전 구간에 묶어 두고 나머지 자리를 니트로기로 채운 혼합 조성을 설계했다. 니트로기는 본 계열에서 최대 공동 지름을 오히려 넓히는 것으로 측정된 유일한 치환기다(8.8~18% 확장).</w:t>
      </w:r>
    </w:p>
    <w:p>
      <w:pPr>
        <w:spacing w:line="240" w:lineRule="auto" w:after="40" w:before="80"/>
      </w:pPr>
      <w:r>
        <w:rPr>
          <w:rFonts w:ascii="Times New Roman" w:hAnsi="Times New Roman" w:eastAsia="맑은 고딕"/>
          <w:b/>
          <w:i w:val="0"/>
          <w:sz w:val="19"/>
        </w:rPr>
        <w:t>표 10. 혼합 치환 조성 — 건조 성능, 구조 안정성, 습윤 작업 용량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조성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구성 (24자리)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Q_st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LCD 감소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습윤 TSA WC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/>
                <w:i w:val="0"/>
                <w:sz w:val="19"/>
              </w:rPr>
              <w:t>물/CO₂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sa50nb50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−SO₃H 12 + −NO₂ 12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30.36 ± 0.35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9.74%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0.6930 ± 0.0159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1.30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sa25nb75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−SO₃H 6 + −NO₂ 18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29.58 ± 0.34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1.42%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0.5999 ± 0.0160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0.72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ms50nb50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−SO₂CH₃ 12 + −NO₂ 12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28.45 ± 0.19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16.09%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0.6257 ± 0.0092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i w:val="0"/>
                <w:sz w:val="19"/>
              </w:rPr>
              <w:t>0.73</w:t>
            </w:r>
          </w:p>
        </w:tc>
      </w:tr>
    </w:tbl>
    <w:p>
      <w:pPr>
        <w:spacing w:line="240" w:lineRule="auto" w:after="40" w:before="0"/>
      </w:pP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**sa50nb50이 두 문턱을 동시에 넘는 첫 조성이다.** 흡착열 30.36 kJ/mol로 목표대에 들면서 공동 감소는 9.74%로 탈락선에서 10%p 이상 여유를 남긴다. 술폰산 밀도가 같은 saIm050과 비교하면 흡착열은 29.51에서 30.36으로 오르고(2.13σ) 공동 감소는 13.75%에서 9.74%로 줄었다 — </w:t>
      </w:r>
      <w:r>
        <w:rPr>
          <w:rFonts w:ascii="Times New Roman" w:hAnsi="Times New Roman" w:eastAsia="맑은 고딕"/>
          <w:b/>
          <w:i w:val="0"/>
          <w:sz w:val="22"/>
        </w:rPr>
        <w:t>통상 맞바꾸는 두 축이 동시에 개선되었다</w:t>
      </w:r>
      <w:r>
        <w:rPr>
          <w:rFonts w:ascii="Times New Roman" w:hAnsi="Times New Roman" w:eastAsia="맑은 고딕"/>
          <w:b w:val="0"/>
          <w:i w:val="0"/>
          <w:sz w:val="22"/>
        </w:rPr>
        <w:t>. sa25nb75의 공동 감소 1.42%와 창구 지름 5.69 Å(모체 5.16보다 넓음)은 니트로기의 확장 효과를 단독으로 보여 준다.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그러나 습윤 조건에서는 이 우위가 유지되지 않는다. sa50nb50의 습윤 작업 용량은 0.6930 ± 0.0159로, 10절의 최적 조성(0.8328 ± 0.0252)보다 </w:t>
      </w:r>
      <w:r>
        <w:rPr>
          <w:rFonts w:ascii="Times New Roman" w:hAnsi="Times New Roman" w:eastAsia="맑은 고딕"/>
          <w:b/>
          <w:i w:val="0"/>
          <w:sz w:val="22"/>
        </w:rPr>
        <w:t>4.69σ 낮다</w:t>
      </w:r>
      <w:r>
        <w:rPr>
          <w:rFonts w:ascii="Times New Roman" w:hAnsi="Times New Roman" w:eastAsia="맑은 고딕"/>
          <w:b w:val="0"/>
          <w:i w:val="0"/>
          <w:sz w:val="22"/>
        </w:rPr>
        <w:t>. 원인은 흡착 쪽에 있다 — 습윤 흡착량이 0.8530인 데 비해 최적 조성은 1.0093이다. 니트로기는 공동을 넓혀 구조를 살렸지만 그만큼 CO₂를 덜 붙잡으며, 건조 로딩에서 이미 나타난 차이(1.1163 대 1.3247)가 습윤에서도 유지된 것이다. 구조 여유를 산 대가로 볼 수 있다.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 xml:space="preserve">물 거동은 설계 의도대로였다. 공여성 수소를 줄인 두 조성의 물/CO₂ 몰비는 0.72와 0.73으로 같은 술폰산 밀도의 단독 치환 조성(1.01)보다 낮고, 승온 재생에서 물의 86~90%가 제거되어 자가건조가 정상 작동한다. 즉 </w:t>
      </w:r>
      <w:r>
        <w:rPr>
          <w:rFonts w:ascii="Times New Roman" w:hAnsi="Times New Roman" w:eastAsia="맑은 고딕"/>
          <w:b/>
          <w:i w:val="0"/>
          <w:sz w:val="22"/>
        </w:rPr>
        <w:t>공여성 수소를 줄이면 물 부담이 준다는 설계 원리는 확인되었으나, 그것만으로 작업 용량이 따라오지는 않는다</w:t>
      </w:r>
      <w:r>
        <w:rPr>
          <w:rFonts w:ascii="Times New Roman" w:hAnsi="Times New Roman" w:eastAsia="맑은 고딕"/>
          <w:b w:val="0"/>
          <w:i w:val="0"/>
          <w:sz w:val="22"/>
        </w:rPr>
        <w:t>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12. 결론과 향후 과제</w:t>
      </w:r>
    </w:p>
    <w:p>
      <w:pPr>
        <w:spacing w:line="240" w:lineRule="auto" w:after="12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gme 위상 ZIF-69에 술폰산을 부분 치환하면 흡착열이 22.4에서 34.0 kJ/mol 까지 단조 증가한다. 그러나 같은 작용기가 물을 함께 끌어들이고 공동을 잠식하므로, 세 축의 최적이 서로 다른 조성에 놓인다.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구조 안정성 관문은 치환율 58.3%와 62.5% 사이, 치환 자리 단 한 칸에서 닫힌다.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흡착 목표대는 87.5%에서야 열린다. 두 창은 술폰산 단독 치환에서 겹치지 않는다.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그 제약 안에서의 최적은 58.3%이며, 습윤 작업 용량이 모체 대비 +77%다.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술폰산과 니트로기를 혼합하면 두 창이 겹친다(흡착열 30.36, 공동 감소 9.74%). 다만 습윤 작업 용량은 최적 조성보다 4.69σ 낮아, 두 문턱 통과가 곧 성능 우위는 아니다.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재생 에너지의 지배항은 흡착열이 아니라 작업 용량에 반비례하는 현열이다.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물 분압이 고정된 승온 재생에서는 상대습도가 90%에서 2.8%로 떨어져 흡착된 물의 86~90%가 같은 사이클에 제거된다.</w:t>
      </w:r>
    </w:p>
    <w:p>
      <w:pPr>
        <w:spacing w:line="240" w:lineRule="auto" w:after="60" w:before="120"/>
      </w:pPr>
      <w:r>
        <w:rPr>
          <w:rFonts w:ascii="Times New Roman" w:hAnsi="Times New Roman" w:eastAsia="맑은 고딕"/>
          <w:b/>
          <w:i w:val="0"/>
          <w:sz w:val="22"/>
        </w:rPr>
        <w:t>향후 과제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혼합 설계에서 공동을 넓히지 않고 흡착을 유지하는 경로 — 니트로기 대신 더 작은 극성기 검토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문헌에 실측 흡착열이 보고된 물질을 동일 프로토콜로 계산해 절대값 교정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안정성 관문의 단일 지표 의존 해소 — 기계적 안정성 등 직교 지표 추가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극성 질소를 고리 안에 둔 링커 — 부피를 늘리지 않고 친화도를 올리는 경로</w:t>
      </w:r>
    </w:p>
    <w:p>
      <w:pPr>
        <w:spacing w:line="240" w:lineRule="auto" w:after="40" w:before="0"/>
        <w:ind w:left="283"/>
      </w:pPr>
      <w:r>
        <w:rPr>
          <w:rFonts w:ascii="Times New Roman" w:hAnsi="Times New Roman" w:eastAsia="맑은 고딕"/>
          <w:b w:val="0"/>
          <w:i w:val="0"/>
          <w:sz w:val="21"/>
        </w:rPr>
        <w:t>· 합성 실증과 분광 검증 — 투입 조성이 결정 내 조성으로 옮겨지는지</w:t>
      </w:r>
    </w:p>
    <w:p>
      <w:pPr>
        <w:spacing w:line="240" w:lineRule="auto" w:after="200"/>
        <w:jc w:val="both"/>
      </w:pPr>
      <w:r>
        <w:rPr>
          <w:rFonts w:ascii="Times New Roman" w:hAnsi="Times New Roman" w:eastAsia="맑은 고딕"/>
          <w:b w:val="0"/>
          <w:i w:val="0"/>
          <w:sz w:val="22"/>
        </w:rPr>
        <w:t>본 연구의 결과는 모두 계산이며 합성으로 검증되지 않았다. 평형 흡착만 다루었으므로 확산과 파과 거동은 계산하지 않았고, 반복 사이클에서의 골격 내구성도 시험하지 않았다. 구조 안정성 관문에 사용한 이완은 수렴에 이르지 않으므로 그 값은 심한 불안정성의 선별로만 읽어야 한다.</w:t>
      </w:r>
    </w:p>
    <w:p>
      <w:pPr>
        <w:spacing w:line="240" w:lineRule="auto" w:after="100" w:before="200"/>
      </w:pPr>
      <w:r>
        <w:rPr>
          <w:rFonts w:ascii="Times New Roman" w:hAnsi="Times New Roman" w:eastAsia="맑은 고딕"/>
          <w:b/>
          <w:i w:val="0"/>
          <w:sz w:val="26"/>
        </w:rPr>
        <w:t>참고문헌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[1] Banerjee, R.; Yaghi, O. M. et al. Control of Pore Size and Functionality in Isoreticular Zeolitic Imidazolate Frameworks and their CO₂ Selective Capture Properties. J. Am. Chem. Soc. 2009, 131, 3875–3877.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[2] García-Sánchez, A. et al. Transferable Force Field for Carbon Dioxide Adsorption in Zeolites. J. Phys. Chem. C 2009, 113, 8814–8820.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[3] Rick, S. W. A reoptimization of the five-site water potential (TIP5P) for use with Ewald sums. J. Chem. Phys. 2004, 120, 6085–6093.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[4] Nazarian, D.; Camp, J. S.; Chung, Y. G.; Snurr, R. Q.; Sholl, D. S. Large-Scale Refinement of Metal–Organic Framework Structures Using Density Functional Theory. Chem. Mater. 2017, 29, 2521–2528.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[5] Chanut, N.; Llewellyn, P. L. et al. Screening the Effect of Water Vapour on Gas Adsorption Performance. ChemSusChem 2017, 10, 1543–1553.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[6] Åhlén, M.; Cheung, O. et al. Selective adsorption of CO₂ and SF₆ on mixed-linker ZIF-7–8s. Chem. Eng. J. 2021, 422, 130117.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[7] Mohamed, S. A.; Jiang, J. Integrating stability metrics with high-throughput computational screening of MOFs for CO₂ capture. Commun. Mater. 2023, 4, 79.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[8] Huang, C.; van der Veen, M. A. Capturing CO₂ under Dry and Humid Conditions: When Does the Parent MOF Outperform the MTV MOF? Inorg. Chem. 2025.</w:t>
      </w:r>
    </w:p>
    <w:p>
      <w:pPr>
        <w:spacing w:line="240" w:lineRule="auto" w:after="40" w:before="0"/>
        <w:ind w:left="340"/>
      </w:pPr>
      <w:r>
        <w:rPr>
          <w:rFonts w:ascii="Times New Roman" w:hAnsi="Times New Roman" w:eastAsia="맑은 고딕"/>
          <w:b w:val="0"/>
          <w:i w:val="0"/>
          <w:sz w:val="19"/>
        </w:rPr>
        <w:t>[9] Kwon, O.; Rajendran, A.; Woo, T. K. Identification of MOFs for near Practical Energy Limit CO₂ Capture from Wet Flue Gases. ACS Cent. Sci. 2025.</w:t>
      </w:r>
    </w:p>
    <w:sectPr w:rsidR="00FC693F" w:rsidRPr="0006063C" w:rsidSect="00034616">
      <w:pgSz w:w="11906" w:h="16838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