
<file path=word/document.xml><?xml version="1.0" encoding="utf-8"?>
<w:document xmlns:w="http://schemas.openxmlformats.org/wordprocessingml/2006/main">
  <w:body>
    <w:p>
      <w:r>
        <w:t>CHÍNH SÁCH QUẢN LÝ RỦI RO TÍN DỤNG NỘI BỘ SHB - PHIÊN BẢN 2.1</w:t>
      </w:r>
    </w:p>
    <w:p>
      <w:r>
        <w:t>Điều 1. Mục tiêu tỷ lệ an toàn vốn CAR nội bộ</w:t>
      </w:r>
    </w:p>
    <w:p>
      <w:r>
        <w:t>Để bảo đảm đệm an toàn rủi ro hoạt động, mục tiêu tỷ lệ an toàn vốn CAR nội bộ SHB được duy trì tối thiểu là 10% tính trên tổng vốn tự có so với tài sản có rủi ro.</w:t>
      </w:r>
    </w:p>
    <w:p>
      <w:r>
        <w:t>Điều 2. Giới hạn tập trung tín dụng theo ngành</w:t>
      </w:r>
    </w:p>
    <w:p>
      <w:r>
        <w:t>Giới hạn dư nợ cấp tín dụng cho một ngành kinh tế không vượt quá 20% tổng dư nợ toàn hệ thống SHB, riêng ngành bất động sản không vượt quá 15% tổng dư nợ.</w:t>
      </w:r>
    </w:p>
    <w:p>
      <w:r>
        <w:t>Điều 5. Hệ thống cảnh báo sớm rủi ro nợ xấu</w:t>
      </w:r>
    </w:p>
    <w:p>
      <w:r>
        <w:t>Hệ thống cảnh báo sớm rủi ro nợ xấu áp dụng 3 cấp độ: Xanh (bình thường), Vàng (cần theo dõi nếu nợ nhóm 2 tăng &gt;10%), Đỏ (xử lý khẩn cấp khi tỷ lệ nợ xấu NPL &gt;3%).</w:t>
      </w:r>
    </w:p>
  </w:body>
</w:document>
</file>