
<file path=word/document.xml><?xml version="1.0" encoding="utf-8"?>
<w:document xmlns:w="http://schemas.openxmlformats.org/wordprocessingml/2006/main">
  <w:body>
    <w:p>
      <w:r>
        <w:t>QUY CHẾ CHO VAY NỘI BỘ SHB - BAN HÀNH THEO QUYẾT ĐỊNH 456/QĐ-SHB</w:t>
      </w:r>
    </w:p>
    <w:p>
      <w:r>
        <w:t>Điều 1. Phạm vi điều chỉnh và nguyên tắc chung</w:t>
      </w:r>
    </w:p>
    <w:p>
      <w:r>
        <w:t>Quy trình thẩm định và cho vay nội bộ áp dụng cho toàn bộ các chi nhánh và phòng giao dịch của SHB trên toàn quốc.</w:t>
      </w:r>
    </w:p>
    <w:p>
      <w:r>
        <w:t>Điều 3. Tỷ lệ cho vay trên giá trị tài sản bảo đảm LTV</w:t>
      </w:r>
    </w:p>
    <w:p>
      <w:r>
        <w:t>Ngưỡng tỷ lệ cho vay trên giá trị tài sản bảo đảm LTV áp dụng tại SHB đối với bất động sản nhà ở tối đa là 70%, đối với bất động sản thương mại tối đa là 60% và đối với phương tiện vận tải tối đa là 50%.</w:t>
      </w:r>
    </w:p>
    <w:p>
      <w:r>
        <w:t>Điều 4. Chỉ số khả năng trả nợ DSCR tối thiểu</w:t>
      </w:r>
    </w:p>
    <w:p>
      <w:r>
        <w:t>Chỉ số khả năng trả nợ DSCR tối thiểu bắt buộc phải đạt 1.25 lần đối với khách hàng vay sản xuất kinh doanh và 1.10 lần đối với khách hàng vay tiêu dùng.</w:t>
      </w:r>
    </w:p>
  </w:body>
</w:document>
</file>