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5C565" w14:textId="70C582B0" w:rsidR="00920423" w:rsidRPr="00D718C9" w:rsidRDefault="00E414FD" w:rsidP="00E414FD">
      <w:pPr>
        <w:jc w:val="center"/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</w:rPr>
      </w:pPr>
      <w:r w:rsidRPr="00D718C9"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</w:rPr>
        <w:t>Predicting Blood Glucose Levels of Diabetes Patients</w:t>
      </w:r>
    </w:p>
    <w:p w14:paraId="5F35D5B6" w14:textId="28E04C78" w:rsidR="00C32F3F" w:rsidRPr="00D718C9" w:rsidRDefault="00452E52" w:rsidP="00452E52">
      <w:pPr>
        <w:pStyle w:val="NormalWeb"/>
        <w:spacing w:before="240" w:beforeAutospacing="0" w:after="0" w:afterAutospacing="0"/>
        <w:jc w:val="both"/>
        <w:rPr>
          <w:color w:val="000000"/>
          <w:lang w:val="en-GB"/>
        </w:rPr>
      </w:pPr>
      <w:r w:rsidRPr="00D718C9">
        <w:rPr>
          <w:color w:val="000000"/>
          <w:lang w:val="en-GB"/>
        </w:rPr>
        <w:t>W</w:t>
      </w:r>
      <w:r w:rsidR="00C32F3F" w:rsidRPr="00D718C9">
        <w:rPr>
          <w:color w:val="000000"/>
        </w:rPr>
        <w:t xml:space="preserve">e create Machine Learning Algorithms </w:t>
      </w:r>
      <w:r w:rsidR="001362C1">
        <w:rPr>
          <w:color w:val="000000"/>
          <w:lang w:val="en-GB"/>
        </w:rPr>
        <w:t xml:space="preserve">in Python </w:t>
      </w:r>
      <w:r w:rsidR="00C32F3F" w:rsidRPr="00D718C9">
        <w:rPr>
          <w:color w:val="000000"/>
        </w:rPr>
        <w:t xml:space="preserve">to predict the blood glucose levels of diabetes patients. </w:t>
      </w:r>
      <w:r w:rsidR="00C364D6">
        <w:rPr>
          <w:color w:val="000000"/>
          <w:lang w:val="en-GB"/>
        </w:rPr>
        <w:t>The</w:t>
      </w:r>
      <w:r w:rsidR="00C32F3F" w:rsidRPr="00D718C9">
        <w:rPr>
          <w:color w:val="000000"/>
        </w:rPr>
        <w:t xml:space="preserve"> work </w:t>
      </w:r>
      <w:r w:rsidR="00C364D6">
        <w:rPr>
          <w:color w:val="000000"/>
          <w:lang w:val="en-GB"/>
        </w:rPr>
        <w:t xml:space="preserve">is done </w:t>
      </w:r>
      <w:r w:rsidR="00C32F3F" w:rsidRPr="00D718C9">
        <w:rPr>
          <w:color w:val="000000"/>
        </w:rPr>
        <w:t>with the UCI Diabetes data set consisting of 70 sets of data recorded on diabetes patients</w:t>
      </w:r>
      <w:r w:rsidR="008D6278">
        <w:rPr>
          <w:color w:val="000000"/>
          <w:lang w:val="en-GB"/>
        </w:rPr>
        <w:t>.</w:t>
      </w:r>
      <w:r w:rsidRPr="00D718C9">
        <w:rPr>
          <w:color w:val="000000"/>
          <w:lang w:val="en-GB"/>
        </w:rPr>
        <w:t xml:space="preserve"> </w:t>
      </w:r>
      <w:r w:rsidR="008D6278">
        <w:rPr>
          <w:color w:val="000000"/>
          <w:lang w:val="en-GB"/>
        </w:rPr>
        <w:t>We apply</w:t>
      </w:r>
      <w:r w:rsidR="00DA11E0" w:rsidRPr="00D718C9">
        <w:rPr>
          <w:color w:val="000000"/>
          <w:lang w:val="en-GB"/>
        </w:rPr>
        <w:t xml:space="preserve"> </w:t>
      </w:r>
      <w:r w:rsidR="00C32F3F" w:rsidRPr="00D718C9">
        <w:rPr>
          <w:color w:val="000000"/>
        </w:rPr>
        <w:t xml:space="preserve">a three-stage evolution model </w:t>
      </w:r>
      <w:r w:rsidR="00BB297E">
        <w:rPr>
          <w:color w:val="000000"/>
          <w:lang w:val="en-GB"/>
        </w:rPr>
        <w:t xml:space="preserve">as </w:t>
      </w:r>
      <w:r w:rsidR="00C758DB" w:rsidRPr="00D718C9">
        <w:rPr>
          <w:color w:val="000000"/>
          <w:lang w:val="en-GB"/>
        </w:rPr>
        <w:t xml:space="preserve">in the article </w:t>
      </w:r>
      <w:r w:rsidR="00C758DB" w:rsidRPr="00D718C9">
        <w:rPr>
          <w:color w:val="000000"/>
          <w:shd w:val="clear" w:color="auto" w:fill="FFFFFF"/>
        </w:rPr>
        <w:t>"Smartphone-based personalized blood glucose prediction" written by Juan Li and Chandima Fernando</w:t>
      </w:r>
      <w:r w:rsidR="007035F5">
        <w:rPr>
          <w:color w:val="000000"/>
          <w:shd w:val="clear" w:color="auto" w:fill="FFFFFF"/>
          <w:lang w:val="en-GB"/>
        </w:rPr>
        <w:t>:</w:t>
      </w:r>
    </w:p>
    <w:p w14:paraId="2F5489A6" w14:textId="77777777" w:rsidR="00C32F3F" w:rsidRPr="00D718C9" w:rsidRDefault="00C32F3F" w:rsidP="00452E52">
      <w:pPr>
        <w:pStyle w:val="NormalWeb"/>
        <w:spacing w:before="240" w:beforeAutospacing="0" w:after="0" w:afterAutospacing="0"/>
        <w:jc w:val="both"/>
        <w:rPr>
          <w:color w:val="000000"/>
        </w:rPr>
      </w:pPr>
      <w:r w:rsidRPr="00D718C9">
        <w:rPr>
          <w:color w:val="000000"/>
        </w:rPr>
        <w:t>(1) Time Series prediction model based on patient data: apply time series forecasting with Support Vector Machine (SVM), Decision Tree (DT) and Random Forest (RF).</w:t>
      </w:r>
    </w:p>
    <w:p w14:paraId="593179AC" w14:textId="29A6D6A0" w:rsidR="00C32F3F" w:rsidRPr="00D718C9" w:rsidRDefault="00C32F3F" w:rsidP="00452E52">
      <w:pPr>
        <w:pStyle w:val="NormalWeb"/>
        <w:spacing w:before="240" w:beforeAutospacing="0" w:after="0" w:afterAutospacing="0"/>
        <w:jc w:val="both"/>
        <w:rPr>
          <w:color w:val="000000"/>
        </w:rPr>
      </w:pPr>
      <w:r w:rsidRPr="00D718C9">
        <w:rPr>
          <w:color w:val="000000"/>
        </w:rPr>
        <w:t xml:space="preserve">(2) Pooled-panel regression model (PPD): apply linear regression algorithm to panel data in order to increase </w:t>
      </w:r>
      <w:r w:rsidR="009873B2">
        <w:rPr>
          <w:color w:val="000000"/>
          <w:lang w:val="en-GB"/>
        </w:rPr>
        <w:t xml:space="preserve">the </w:t>
      </w:r>
      <w:r w:rsidRPr="00D718C9">
        <w:rPr>
          <w:color w:val="000000"/>
        </w:rPr>
        <w:t>sample size.</w:t>
      </w:r>
    </w:p>
    <w:p w14:paraId="5A15A98E" w14:textId="77777777" w:rsidR="00C32F3F" w:rsidRPr="00D718C9" w:rsidRDefault="00C32F3F" w:rsidP="00452E52">
      <w:pPr>
        <w:pStyle w:val="NormalWeb"/>
        <w:spacing w:before="240" w:beforeAutospacing="0" w:after="0" w:afterAutospacing="0"/>
        <w:jc w:val="both"/>
        <w:rPr>
          <w:color w:val="000000"/>
        </w:rPr>
      </w:pPr>
      <w:r w:rsidRPr="00D718C9">
        <w:rPr>
          <w:color w:val="000000"/>
        </w:rPr>
        <w:t>(3) Pre-clustered personalized regression model: to remove patients with different behaviour.</w:t>
      </w:r>
    </w:p>
    <w:p w14:paraId="0C167FE9" w14:textId="666FD600" w:rsidR="00C32F3F" w:rsidRDefault="00C32F3F" w:rsidP="00452E52">
      <w:pPr>
        <w:pStyle w:val="NormalWeb"/>
        <w:spacing w:before="240" w:beforeAutospacing="0" w:after="0" w:afterAutospacing="0"/>
        <w:jc w:val="both"/>
        <w:rPr>
          <w:color w:val="000000"/>
        </w:rPr>
      </w:pPr>
      <w:r w:rsidRPr="00D718C9">
        <w:rPr>
          <w:color w:val="000000"/>
        </w:rPr>
        <w:t xml:space="preserve">We basically follow the article except for that we do not make use of stage (3) pre-clustering. Instead, I think it is faster and easier to remove rare patients </w:t>
      </w:r>
      <w:r w:rsidR="00290977">
        <w:rPr>
          <w:color w:val="000000"/>
          <w:lang w:val="en-GB"/>
        </w:rPr>
        <w:t>and</w:t>
      </w:r>
      <w:r w:rsidRPr="00D718C9">
        <w:rPr>
          <w:color w:val="000000"/>
        </w:rPr>
        <w:t xml:space="preserve"> behaviours manually. </w:t>
      </w:r>
    </w:p>
    <w:p w14:paraId="70B73BC2" w14:textId="142903E8" w:rsidR="007B04B3" w:rsidRDefault="007B04B3" w:rsidP="00452E52">
      <w:pPr>
        <w:pStyle w:val="NormalWeb"/>
        <w:spacing w:before="240" w:beforeAutospacing="0" w:after="0" w:afterAutospacing="0"/>
        <w:jc w:val="both"/>
        <w:rPr>
          <w:color w:val="000000"/>
          <w:lang w:val="en-GB"/>
        </w:rPr>
      </w:pPr>
      <w:r w:rsidRPr="007B04B3">
        <w:rPr>
          <w:color w:val="000000"/>
        </w:rPr>
        <w:t xml:space="preserve">The metrics used </w:t>
      </w:r>
      <w:r w:rsidR="00A562FA">
        <w:rPr>
          <w:color w:val="000000"/>
          <w:lang w:val="en-GB"/>
        </w:rPr>
        <w:t>for testing</w:t>
      </w:r>
      <w:r w:rsidRPr="007B04B3">
        <w:rPr>
          <w:color w:val="000000"/>
        </w:rPr>
        <w:t xml:space="preserve"> are 'mean </w:t>
      </w:r>
      <w:r w:rsidR="0035369C">
        <w:rPr>
          <w:color w:val="000000"/>
          <w:lang w:val="en-GB"/>
        </w:rPr>
        <w:t>absolute</w:t>
      </w:r>
      <w:r w:rsidRPr="007B04B3">
        <w:rPr>
          <w:color w:val="000000"/>
        </w:rPr>
        <w:t xml:space="preserve"> error' (MAE) and 'root-mean-squared error' (RMSE). Furthermore, we use cross validation to check the accuracies of these models.</w:t>
      </w:r>
      <w:r w:rsidR="00B3424E">
        <w:rPr>
          <w:color w:val="000000"/>
          <w:lang w:val="en-GB"/>
        </w:rPr>
        <w:t xml:space="preserve"> The accuracies of these models can be summarized as follows:</w:t>
      </w:r>
    </w:p>
    <w:p w14:paraId="562FBF69" w14:textId="77777777" w:rsidR="00D60865" w:rsidRDefault="00D60865" w:rsidP="00452E52">
      <w:pPr>
        <w:pStyle w:val="NormalWeb"/>
        <w:spacing w:before="240" w:beforeAutospacing="0" w:after="0" w:afterAutospacing="0"/>
        <w:jc w:val="both"/>
        <w:rPr>
          <w:color w:val="00000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60865" w14:paraId="2471932F" w14:textId="77777777" w:rsidTr="00661F61">
        <w:tc>
          <w:tcPr>
            <w:tcW w:w="1803" w:type="dxa"/>
            <w:tcBorders>
              <w:tl2br w:val="nil"/>
            </w:tcBorders>
          </w:tcPr>
          <w:p w14:paraId="782E2F68" w14:textId="77777777" w:rsidR="00D60865" w:rsidRDefault="00D60865" w:rsidP="00452E52">
            <w:pPr>
              <w:pStyle w:val="NormalWeb"/>
              <w:spacing w:before="240" w:beforeAutospacing="0" w:after="0" w:afterAutospacing="0"/>
              <w:jc w:val="both"/>
              <w:rPr>
                <w:color w:val="000000"/>
                <w:lang w:val="en-GB"/>
              </w:rPr>
            </w:pPr>
          </w:p>
        </w:tc>
        <w:tc>
          <w:tcPr>
            <w:tcW w:w="1803" w:type="dxa"/>
          </w:tcPr>
          <w:p w14:paraId="1EDDAB89" w14:textId="6938B74C" w:rsidR="00D60865" w:rsidRDefault="007943DD" w:rsidP="004F0D97">
            <w:pPr>
              <w:pStyle w:val="NormalWeb"/>
              <w:spacing w:before="24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SVM</w:t>
            </w:r>
          </w:p>
        </w:tc>
        <w:tc>
          <w:tcPr>
            <w:tcW w:w="1803" w:type="dxa"/>
          </w:tcPr>
          <w:p w14:paraId="390A58E6" w14:textId="171A8636" w:rsidR="00D60865" w:rsidRDefault="007943DD" w:rsidP="004F0D97">
            <w:pPr>
              <w:pStyle w:val="NormalWeb"/>
              <w:spacing w:before="24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DT</w:t>
            </w:r>
          </w:p>
        </w:tc>
        <w:tc>
          <w:tcPr>
            <w:tcW w:w="1803" w:type="dxa"/>
          </w:tcPr>
          <w:p w14:paraId="5D0136E3" w14:textId="3D24E100" w:rsidR="00D60865" w:rsidRDefault="007943DD" w:rsidP="004F0D97">
            <w:pPr>
              <w:pStyle w:val="NormalWeb"/>
              <w:spacing w:before="24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RF</w:t>
            </w:r>
          </w:p>
        </w:tc>
        <w:tc>
          <w:tcPr>
            <w:tcW w:w="1804" w:type="dxa"/>
          </w:tcPr>
          <w:p w14:paraId="12A3794F" w14:textId="4EC6C007" w:rsidR="00D60865" w:rsidRDefault="007943DD" w:rsidP="004F0D97">
            <w:pPr>
              <w:pStyle w:val="NormalWeb"/>
              <w:spacing w:before="24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</w:t>
            </w:r>
            <w:r w:rsidR="00F23D97">
              <w:rPr>
                <w:color w:val="000000"/>
                <w:lang w:val="en-GB"/>
              </w:rPr>
              <w:t>P</w:t>
            </w:r>
            <w:r>
              <w:rPr>
                <w:color w:val="000000"/>
                <w:lang w:val="en-GB"/>
              </w:rPr>
              <w:t>D</w:t>
            </w:r>
          </w:p>
        </w:tc>
      </w:tr>
      <w:tr w:rsidR="00D60865" w14:paraId="3F426CE1" w14:textId="77777777" w:rsidTr="00D60865">
        <w:tc>
          <w:tcPr>
            <w:tcW w:w="1803" w:type="dxa"/>
          </w:tcPr>
          <w:p w14:paraId="3428307E" w14:textId="05F6481B" w:rsidR="00D60865" w:rsidRDefault="007943DD" w:rsidP="004F0D97">
            <w:pPr>
              <w:pStyle w:val="NormalWeb"/>
              <w:spacing w:before="24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MAE</w:t>
            </w:r>
          </w:p>
        </w:tc>
        <w:tc>
          <w:tcPr>
            <w:tcW w:w="1803" w:type="dxa"/>
          </w:tcPr>
          <w:p w14:paraId="04D91104" w14:textId="44124984" w:rsidR="00D60865" w:rsidRDefault="00F400FE" w:rsidP="00AA0167">
            <w:pPr>
              <w:pStyle w:val="NormalWeb"/>
              <w:spacing w:before="24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61.11</w:t>
            </w:r>
          </w:p>
        </w:tc>
        <w:tc>
          <w:tcPr>
            <w:tcW w:w="1803" w:type="dxa"/>
          </w:tcPr>
          <w:p w14:paraId="166E859F" w14:textId="7FA31327" w:rsidR="00D60865" w:rsidRDefault="008A5F24" w:rsidP="00AA0167">
            <w:pPr>
              <w:pStyle w:val="NormalWeb"/>
              <w:spacing w:before="24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48.54</w:t>
            </w:r>
          </w:p>
        </w:tc>
        <w:tc>
          <w:tcPr>
            <w:tcW w:w="1803" w:type="dxa"/>
          </w:tcPr>
          <w:p w14:paraId="2908DCF6" w14:textId="53BD829D" w:rsidR="00D60865" w:rsidRDefault="008A5F24" w:rsidP="00AA0167">
            <w:pPr>
              <w:pStyle w:val="NormalWeb"/>
              <w:spacing w:before="24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44.88</w:t>
            </w:r>
          </w:p>
        </w:tc>
        <w:tc>
          <w:tcPr>
            <w:tcW w:w="1804" w:type="dxa"/>
          </w:tcPr>
          <w:p w14:paraId="541185AF" w14:textId="54BF7124" w:rsidR="00D60865" w:rsidRDefault="00AA0167" w:rsidP="00AA0167">
            <w:pPr>
              <w:pStyle w:val="NormalWeb"/>
              <w:spacing w:before="24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42.97</w:t>
            </w:r>
          </w:p>
        </w:tc>
      </w:tr>
      <w:tr w:rsidR="00D60865" w14:paraId="48B86875" w14:textId="77777777" w:rsidTr="00D60865">
        <w:tc>
          <w:tcPr>
            <w:tcW w:w="1803" w:type="dxa"/>
          </w:tcPr>
          <w:p w14:paraId="7257D990" w14:textId="300A238C" w:rsidR="00D60865" w:rsidRDefault="007943DD" w:rsidP="004F0D97">
            <w:pPr>
              <w:pStyle w:val="NormalWeb"/>
              <w:spacing w:before="24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RMSE</w:t>
            </w:r>
          </w:p>
        </w:tc>
        <w:tc>
          <w:tcPr>
            <w:tcW w:w="1803" w:type="dxa"/>
          </w:tcPr>
          <w:p w14:paraId="2F4263BF" w14:textId="23C91C98" w:rsidR="00D60865" w:rsidRDefault="00F400FE" w:rsidP="00AA0167">
            <w:pPr>
              <w:pStyle w:val="NormalWeb"/>
              <w:spacing w:before="24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68.64</w:t>
            </w:r>
          </w:p>
        </w:tc>
        <w:tc>
          <w:tcPr>
            <w:tcW w:w="1803" w:type="dxa"/>
          </w:tcPr>
          <w:p w14:paraId="20F968BC" w14:textId="374D212B" w:rsidR="00D60865" w:rsidRDefault="008A5F24" w:rsidP="00AA0167">
            <w:pPr>
              <w:pStyle w:val="NormalWeb"/>
              <w:spacing w:before="24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56.07</w:t>
            </w:r>
          </w:p>
        </w:tc>
        <w:tc>
          <w:tcPr>
            <w:tcW w:w="1803" w:type="dxa"/>
          </w:tcPr>
          <w:p w14:paraId="1B33BFAD" w14:textId="3E5400B8" w:rsidR="00D60865" w:rsidRDefault="008A5F24" w:rsidP="00AA0167">
            <w:pPr>
              <w:pStyle w:val="NormalWeb"/>
              <w:spacing w:before="24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52.70</w:t>
            </w:r>
          </w:p>
        </w:tc>
        <w:tc>
          <w:tcPr>
            <w:tcW w:w="1804" w:type="dxa"/>
          </w:tcPr>
          <w:p w14:paraId="2B4D1F59" w14:textId="099BAC5F" w:rsidR="00D60865" w:rsidRDefault="00AA0167" w:rsidP="00AA0167">
            <w:pPr>
              <w:pStyle w:val="NormalWeb"/>
              <w:spacing w:before="24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50.48</w:t>
            </w:r>
          </w:p>
        </w:tc>
      </w:tr>
    </w:tbl>
    <w:p w14:paraId="5B35BB2D" w14:textId="06AB8CB5" w:rsidR="00B3424E" w:rsidRDefault="003C37B0" w:rsidP="00452E52">
      <w:pPr>
        <w:pStyle w:val="NormalWeb"/>
        <w:spacing w:before="240" w:beforeAutospacing="0" w:after="0" w:afterAutospacing="0"/>
        <w:jc w:val="both"/>
        <w:rPr>
          <w:color w:val="000000"/>
          <w:lang w:val="en-GB"/>
        </w:rPr>
      </w:pPr>
      <w:r>
        <w:rPr>
          <w:color w:val="000000"/>
          <w:lang w:val="en-GB"/>
        </w:rPr>
        <w:t>In conclusion, PPD provides the best predictions</w:t>
      </w:r>
      <w:r w:rsidR="00917D00">
        <w:rPr>
          <w:color w:val="000000"/>
          <w:lang w:val="en-GB"/>
        </w:rPr>
        <w:t>.</w:t>
      </w:r>
      <w:r w:rsidR="00F77651">
        <w:rPr>
          <w:color w:val="000000"/>
          <w:lang w:val="en-GB"/>
        </w:rPr>
        <w:t xml:space="preserve"> </w:t>
      </w:r>
      <w:r w:rsidR="00917D00">
        <w:rPr>
          <w:color w:val="000000"/>
          <w:lang w:val="en-GB"/>
        </w:rPr>
        <w:t>A</w:t>
      </w:r>
      <w:r w:rsidR="00F77651">
        <w:rPr>
          <w:color w:val="000000"/>
          <w:lang w:val="en-GB"/>
        </w:rPr>
        <w:t>mong the three time series methods mentioned above, Random Forest gives the</w:t>
      </w:r>
      <w:r w:rsidR="00A30FBE">
        <w:rPr>
          <w:color w:val="000000"/>
          <w:lang w:val="en-GB"/>
        </w:rPr>
        <w:t xml:space="preserve"> best predictions. </w:t>
      </w:r>
      <w:r w:rsidR="003E4125">
        <w:rPr>
          <w:color w:val="000000"/>
          <w:lang w:val="en-GB"/>
        </w:rPr>
        <w:t>M</w:t>
      </w:r>
      <w:r w:rsidR="008162A2">
        <w:rPr>
          <w:color w:val="000000"/>
          <w:lang w:val="en-GB"/>
        </w:rPr>
        <w:t xml:space="preserve">oreover, we develop more </w:t>
      </w:r>
      <w:r w:rsidR="0079543C">
        <w:rPr>
          <w:color w:val="000000"/>
          <w:lang w:val="en-GB"/>
        </w:rPr>
        <w:t>the RF and PPD models to get better prediction</w:t>
      </w:r>
      <w:r w:rsidR="00FD2C22">
        <w:rPr>
          <w:color w:val="000000"/>
          <w:lang w:val="en-GB"/>
        </w:rPr>
        <w:t>s as below. Note that the new models are not recommended since it takes much more time to train them.</w:t>
      </w:r>
    </w:p>
    <w:p w14:paraId="32D9C838" w14:textId="77777777" w:rsidR="00314B9E" w:rsidRDefault="00314B9E" w:rsidP="00452E52">
      <w:pPr>
        <w:pStyle w:val="NormalWeb"/>
        <w:spacing w:before="240" w:beforeAutospacing="0" w:after="0" w:afterAutospacing="0"/>
        <w:jc w:val="both"/>
        <w:rPr>
          <w:color w:val="00000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2C22" w14:paraId="6A1157A8" w14:textId="77777777" w:rsidTr="00FD2C22">
        <w:tc>
          <w:tcPr>
            <w:tcW w:w="3005" w:type="dxa"/>
          </w:tcPr>
          <w:p w14:paraId="3B8E91C1" w14:textId="77777777" w:rsidR="00FD2C22" w:rsidRDefault="00FD2C22" w:rsidP="00452E52">
            <w:pPr>
              <w:pStyle w:val="NormalWeb"/>
              <w:spacing w:before="240" w:beforeAutospacing="0" w:after="0" w:afterAutospacing="0"/>
              <w:jc w:val="both"/>
              <w:rPr>
                <w:color w:val="000000"/>
                <w:lang w:val="en-GB"/>
              </w:rPr>
            </w:pPr>
          </w:p>
        </w:tc>
        <w:tc>
          <w:tcPr>
            <w:tcW w:w="3005" w:type="dxa"/>
          </w:tcPr>
          <w:p w14:paraId="677A7BB8" w14:textId="44EDF8DD" w:rsidR="00FD2C22" w:rsidRDefault="00FD2C22" w:rsidP="00314B9E">
            <w:pPr>
              <w:pStyle w:val="NormalWeb"/>
              <w:spacing w:before="24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RF</w:t>
            </w:r>
            <w:r w:rsidR="00466118">
              <w:rPr>
                <w:color w:val="000000"/>
                <w:lang w:val="en-GB"/>
              </w:rPr>
              <w:t>-develop</w:t>
            </w:r>
          </w:p>
        </w:tc>
        <w:tc>
          <w:tcPr>
            <w:tcW w:w="3006" w:type="dxa"/>
          </w:tcPr>
          <w:p w14:paraId="60E91D2E" w14:textId="78711EE2" w:rsidR="00FD2C22" w:rsidRDefault="00466118" w:rsidP="00314B9E">
            <w:pPr>
              <w:pStyle w:val="NormalWeb"/>
              <w:spacing w:before="24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PPD-develop</w:t>
            </w:r>
          </w:p>
        </w:tc>
      </w:tr>
      <w:tr w:rsidR="00FD2C22" w14:paraId="2D6E5426" w14:textId="77777777" w:rsidTr="00FD2C22">
        <w:tc>
          <w:tcPr>
            <w:tcW w:w="3005" w:type="dxa"/>
          </w:tcPr>
          <w:p w14:paraId="365CC217" w14:textId="5918240A" w:rsidR="00FD2C22" w:rsidRDefault="00466118" w:rsidP="00314B9E">
            <w:pPr>
              <w:pStyle w:val="NormalWeb"/>
              <w:spacing w:before="24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MAE</w:t>
            </w:r>
          </w:p>
        </w:tc>
        <w:tc>
          <w:tcPr>
            <w:tcW w:w="3005" w:type="dxa"/>
          </w:tcPr>
          <w:p w14:paraId="1F8EC213" w14:textId="65F295E8" w:rsidR="00FD2C22" w:rsidRDefault="00314B9E" w:rsidP="00314B9E">
            <w:pPr>
              <w:pStyle w:val="NormalWeb"/>
              <w:spacing w:before="24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41.65</w:t>
            </w:r>
          </w:p>
        </w:tc>
        <w:tc>
          <w:tcPr>
            <w:tcW w:w="3006" w:type="dxa"/>
          </w:tcPr>
          <w:p w14:paraId="42B824F3" w14:textId="7C456402" w:rsidR="00FD2C22" w:rsidRDefault="00314B9E" w:rsidP="00314B9E">
            <w:pPr>
              <w:pStyle w:val="NormalWeb"/>
              <w:spacing w:before="24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39.78</w:t>
            </w:r>
          </w:p>
        </w:tc>
      </w:tr>
      <w:tr w:rsidR="00FD2C22" w14:paraId="2051BAB6" w14:textId="77777777" w:rsidTr="00FD2C22">
        <w:tc>
          <w:tcPr>
            <w:tcW w:w="3005" w:type="dxa"/>
          </w:tcPr>
          <w:p w14:paraId="7C9EEF6C" w14:textId="5AA6B4CA" w:rsidR="00FD2C22" w:rsidRDefault="00466118" w:rsidP="00314B9E">
            <w:pPr>
              <w:pStyle w:val="NormalWeb"/>
              <w:spacing w:before="24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RMSE</w:t>
            </w:r>
          </w:p>
        </w:tc>
        <w:tc>
          <w:tcPr>
            <w:tcW w:w="3005" w:type="dxa"/>
          </w:tcPr>
          <w:p w14:paraId="7853F638" w14:textId="627F6690" w:rsidR="00FD2C22" w:rsidRDefault="00314B9E" w:rsidP="00314B9E">
            <w:pPr>
              <w:pStyle w:val="NormalWeb"/>
              <w:spacing w:before="24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41.65</w:t>
            </w:r>
          </w:p>
        </w:tc>
        <w:tc>
          <w:tcPr>
            <w:tcW w:w="3006" w:type="dxa"/>
          </w:tcPr>
          <w:p w14:paraId="4819C970" w14:textId="28D08D21" w:rsidR="00FD2C22" w:rsidRDefault="00314B9E" w:rsidP="00314B9E">
            <w:pPr>
              <w:pStyle w:val="NormalWeb"/>
              <w:spacing w:before="240" w:beforeAutospacing="0" w:after="0" w:afterAutospacing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39.78</w:t>
            </w:r>
          </w:p>
        </w:tc>
      </w:tr>
    </w:tbl>
    <w:p w14:paraId="086227EC" w14:textId="77777777" w:rsidR="00FD2C22" w:rsidRPr="00B3424E" w:rsidRDefault="00FD2C22" w:rsidP="00452E52">
      <w:pPr>
        <w:pStyle w:val="NormalWeb"/>
        <w:spacing w:before="240" w:beforeAutospacing="0" w:after="0" w:afterAutospacing="0"/>
        <w:jc w:val="both"/>
        <w:rPr>
          <w:color w:val="000000"/>
          <w:lang w:val="en-GB"/>
        </w:rPr>
      </w:pPr>
    </w:p>
    <w:p w14:paraId="38F31C08" w14:textId="77777777" w:rsidR="00E414FD" w:rsidRPr="00D718C9" w:rsidRDefault="00E414FD" w:rsidP="00E414FD">
      <w:pPr>
        <w:jc w:val="both"/>
        <w:rPr>
          <w:rFonts w:ascii="Times New Roman" w:hAnsi="Times New Roman" w:cs="Times New Roman"/>
          <w:sz w:val="52"/>
          <w:szCs w:val="52"/>
        </w:rPr>
      </w:pPr>
    </w:p>
    <w:sectPr w:rsidR="00E414FD" w:rsidRPr="00D71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23"/>
    <w:rsid w:val="001362C1"/>
    <w:rsid w:val="001B384B"/>
    <w:rsid w:val="00290977"/>
    <w:rsid w:val="002B1AF0"/>
    <w:rsid w:val="00314B9E"/>
    <w:rsid w:val="003404FA"/>
    <w:rsid w:val="0035369C"/>
    <w:rsid w:val="003C37B0"/>
    <w:rsid w:val="003E4125"/>
    <w:rsid w:val="00452E52"/>
    <w:rsid w:val="00466118"/>
    <w:rsid w:val="004F0D97"/>
    <w:rsid w:val="005B79FA"/>
    <w:rsid w:val="00661F61"/>
    <w:rsid w:val="007035F5"/>
    <w:rsid w:val="007943DD"/>
    <w:rsid w:val="0079543C"/>
    <w:rsid w:val="007B04B3"/>
    <w:rsid w:val="008162A2"/>
    <w:rsid w:val="008A5F24"/>
    <w:rsid w:val="008D6278"/>
    <w:rsid w:val="00917D00"/>
    <w:rsid w:val="00920423"/>
    <w:rsid w:val="009873B2"/>
    <w:rsid w:val="00A30FBE"/>
    <w:rsid w:val="00A562FA"/>
    <w:rsid w:val="00AA0167"/>
    <w:rsid w:val="00B3424E"/>
    <w:rsid w:val="00BB297E"/>
    <w:rsid w:val="00C32F3F"/>
    <w:rsid w:val="00C364D6"/>
    <w:rsid w:val="00C758DB"/>
    <w:rsid w:val="00D60865"/>
    <w:rsid w:val="00D718C9"/>
    <w:rsid w:val="00DA11E0"/>
    <w:rsid w:val="00E414FD"/>
    <w:rsid w:val="00F23D97"/>
    <w:rsid w:val="00F400FE"/>
    <w:rsid w:val="00F77651"/>
    <w:rsid w:val="00FD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ED5ACF"/>
  <w15:chartTrackingRefBased/>
  <w15:docId w15:val="{623F193F-26C5-49AD-ABD3-A4D2E75D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E"/>
    </w:rPr>
  </w:style>
  <w:style w:type="table" w:styleId="TableGrid">
    <w:name w:val="Table Grid"/>
    <w:basedOn w:val="TableNormal"/>
    <w:uiPriority w:val="39"/>
    <w:rsid w:val="00D60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Hung Tran</dc:creator>
  <cp:keywords/>
  <dc:description/>
  <cp:lastModifiedBy>Manh Hung Tran</cp:lastModifiedBy>
  <cp:revision>40</cp:revision>
  <dcterms:created xsi:type="dcterms:W3CDTF">2020-07-01T22:03:00Z</dcterms:created>
  <dcterms:modified xsi:type="dcterms:W3CDTF">2020-07-02T09:49:00Z</dcterms:modified>
</cp:coreProperties>
</file>