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right"/>
      </w:pPr>
      <w:r>
        <w:rPr>
          <w:rFonts w:ascii="Times New Roman" w:hAnsi="Times New Roman"/>
          <w:b w:val="0"/>
          <w:i/>
          <w:color w:val="808080"/>
          <w:sz w:val="16"/>
          <w:rFonts w:ascii="Times New Roman" w:hAnsi="Times New Roman"/>
        </w:rPr>
        <w:t>JSLHU, Vol 18, May 2026</w:t>
        <w:br/>
        <w:t>TẠP CHÍ KHOA HỌC ĐẠI HỌC LẠC HỒNG</w:t>
      </w:r>
    </w:p>
    <w:p>
      <w:pPr>
        <w:spacing w:after="240"/>
        <w:jc w:val="center"/>
      </w:pPr>
      <w:r>
        <w:rPr>
          <w:rFonts w:ascii="Times New Roman" w:hAnsi="Times New Roman"/>
          <w:b/>
          <w:i w:val="0"/>
          <w:color w:val="000000"/>
          <w:sz w:val="30"/>
          <w:rFonts w:ascii="Times New Roman" w:hAnsi="Times New Roman"/>
        </w:rPr>
        <w:t>CAUSALFLOWNET: A NONLINEAR CAUSAL DISCOVERY FRAMEWORK VIA NORMALIZING FLOWS AND PARALLEL INDEPENDENCE TESTING</w:t>
      </w:r>
    </w:p>
    <w:p>
      <w:pPr>
        <w:spacing w:after="80"/>
        <w:jc w:val="right"/>
      </w:pPr>
      <w:r>
        <w:rPr>
          <w:rFonts w:ascii="Times New Roman" w:hAnsi="Times New Roman"/>
          <w:b/>
          <w:i w:val="0"/>
          <w:color w:val="000000"/>
          <w:sz w:val="22"/>
          <w:rFonts w:ascii="Times New Roman" w:hAnsi="Times New Roman"/>
        </w:rPr>
        <w:t>Trần Mạnh Thái1*, Diệp Thị Mỹ Hằng1, Trần Thanh Phương2</w:t>
      </w:r>
    </w:p>
    <w:p>
      <w:pPr>
        <w:spacing w:after="360"/>
        <w:jc w:val="right"/>
      </w:pPr>
      <w:r>
        <w:rPr>
          <w:rFonts w:ascii="Times New Roman" w:hAnsi="Times New Roman"/>
          <w:b w:val="0"/>
          <w:i/>
          <w:color w:val="000000"/>
          <w:sz w:val="18"/>
          <w:rFonts w:ascii="Times New Roman" w:hAnsi="Times New Roman"/>
        </w:rPr>
        <w:t>1Khoa Công nghệ Thông tin, Trường Đại học Lạc Hồng, Đồng Nai, Việt Nam</w:t>
        <w:br/>
        <w:t>2Giảng viên hướng dẫn, Khoa Công nghệ Thông tin, Trường Đại học Lạc Hồng, Đồng Nai, Việt Nam</w:t>
        <w:br/>
        <w:t>*Corresponding Author: 122000315@lhu.edu.vn</w:t>
      </w:r>
    </w:p>
    <w:p>
      <w:pPr>
        <w:spacing w:before="240" w:after="80"/>
      </w:pPr>
      <w:r>
        <w:rPr>
          <w:rFonts w:ascii="Times New Roman" w:hAnsi="Times New Roman"/>
          <w:b/>
          <w:i w:val="0"/>
          <w:color w:val="000000"/>
          <w:sz w:val="20"/>
          <w:rFonts w:ascii="Times New Roman" w:hAnsi="Times New Roman"/>
        </w:rPr>
        <w:t>ABSTRACT</w:t>
      </w:r>
    </w:p>
    <w:p>
      <w:pPr>
        <w:spacing w:after="120"/>
        <w:ind w:left="288" w:right="288"/>
        <w:jc w:val="both"/>
      </w:pPr>
      <w:r>
        <w:rPr>
          <w:rFonts w:ascii="Times New Roman" w:hAnsi="Times New Roman"/>
          <w:b w:val="0"/>
          <w:i w:val="0"/>
          <w:color w:val="000000"/>
          <w:sz w:val="19"/>
          <w:rFonts w:ascii="Times New Roman" w:hAnsi="Times New Roman"/>
        </w:rPr>
        <w:t>Causal discovery from continuous observational data remains a challenging task, particularly when the underlying mechanisms are highly nonlinear and subject to non-Gaussian noise. We introduce CausalFlowNet, a unified deep learning framework for continuous causal structure learning. The proposed architecture leverages a Gated Residual Multi-Layer Perceptron (Gated-ResMLP) to capture complex context-dependent interactions, alongside Neural Spline Flows (NSF) equipped with Gaussian Mixture Priors for flexible and exact density estimation of the residuals. To enforce the fundamental assumption of causal sufficiency—where noise residuals must be statistically independent of their causal parents—we introduce a fully parallelized Hilbert-Schmidt Independence Criterion (HSIC) module accelerated by Random Fourier Features. Optimized via the Augmented Lagrangian Method to strictly guarantee acyclicity, CausalFlowNet demonstrates highly competitive Structural Hamming Distance (SHD) and Structural Intervention Distance (SID) on both real biological datasets and synthetic regulatory networks.</w:t>
      </w:r>
    </w:p>
    <w:p>
      <w:pPr>
        <w:spacing w:after="360"/>
        <w:ind w:left="288"/>
      </w:pPr>
      <w:r>
        <w:rPr>
          <w:rFonts w:ascii="Times New Roman" w:hAnsi="Times New Roman"/>
          <w:b/>
          <w:i w:val="0"/>
          <w:color w:val="000000"/>
          <w:sz w:val="19"/>
          <w:rFonts w:ascii="Times New Roman" w:hAnsi="Times New Roman"/>
        </w:rPr>
        <w:t xml:space="preserve">Keywords: </w:t>
      </w:r>
      <w:r>
        <w:rPr>
          <w:rFonts w:ascii="Times New Roman" w:hAnsi="Times New Roman"/>
          <w:b w:val="0"/>
          <w:i w:val="0"/>
          <w:color w:val="000000"/>
          <w:sz w:val="19"/>
          <w:rFonts w:ascii="Times New Roman" w:hAnsi="Times New Roman"/>
        </w:rPr>
        <w:t>Causal Discovery; Normalizing Flows; Gated-ResMLP; Fast HSIC; Acyclicity Constraint.</w:t>
      </w:r>
    </w:p>
    <w:p>
      <w:pPr>
        <w:spacing w:after="240"/>
        <w:jc w:val="center"/>
      </w:pPr>
      <w:r>
        <w:rPr>
          <w:rFonts w:ascii="Times New Roman" w:hAnsi="Times New Roman"/>
          <w:b/>
          <w:i w:val="0"/>
          <w:color w:val="000000"/>
          <w:sz w:val="30"/>
          <w:rFonts w:ascii="Times New Roman" w:hAnsi="Times New Roman"/>
        </w:rPr>
        <w:t>CAUSALFLOWNET: KHUNG KHÁM PHÁ NHÂN QUẢ PHI TUYẾN TÍNH QUA FLOW CHUẨN HÓA VÀ KIỂM ĐỊNH ĐỘC LẬP SONG SONG</w:t>
      </w:r>
    </w:p>
    <w:p>
      <w:pPr>
        <w:spacing w:before="240" w:after="80"/>
      </w:pPr>
      <w:r>
        <w:rPr>
          <w:rFonts w:ascii="Times New Roman" w:hAnsi="Times New Roman"/>
          <w:b/>
          <w:i w:val="0"/>
          <w:color w:val="000000"/>
          <w:sz w:val="20"/>
          <w:rFonts w:ascii="Times New Roman" w:hAnsi="Times New Roman"/>
        </w:rPr>
        <w:t>TÓM TẮT</w:t>
      </w:r>
    </w:p>
    <w:p>
      <w:pPr>
        <w:spacing w:after="120"/>
        <w:ind w:left="288" w:right="288"/>
        <w:jc w:val="both"/>
      </w:pPr>
      <w:r>
        <w:rPr>
          <w:rFonts w:ascii="Times New Roman" w:hAnsi="Times New Roman"/>
          <w:b w:val="0"/>
          <w:i w:val="0"/>
          <w:color w:val="000000"/>
          <w:sz w:val="19"/>
          <w:rFonts w:ascii="Times New Roman" w:hAnsi="Times New Roman"/>
        </w:rPr>
        <w:t>Khám phá cấu trúc nhân quả từ dữ liệu quan sát liên tục là một bài toán đầy thách thức, đặc biệt khi các cơ chế tác động phi tuyến tính và chịu ảnh hưởng bởi nhiễu phi chuẩn. Trong nghiên cứu này, chúng tôi đề xuất CausalFlowNet, một khung học sâu thống nhất cho bài toán học cấu trúc nhân quả liên tục. Kiến trúc đề xuất tích hợp mạng Perceptron nhiều lớp có cổng kết nối tắt (Gated-ResMLP) để mô hình hóa các tương tác phi tuyến tính phức tạp, phối hợp với Flow chuẩn hóa dạng nêm (Neural Spline Flow - NSF) tích hợp phân phối tiên nghiệm hỗn hợp Gaussian (GMM Prior) nhằm ước lượng chính xác mật độ xác suất của phần dư. Để đảm bảo giả định nhân quả đủ—trong đó phần dư phải độc lập thống kê với các biến cha nguyên nhân—chúng tôi đưa vào mô-đun kiểm định độc lập thống kê phi tuyến song song (Parallel Fast HSIC) được tăng tốc bằng đặc trưng Fourier ngẫu nhiên. Được tối ưu hóa bằng phương pháp nhân tử Lagrangian tăng cường nhằm đảm bảo tuyệt đối tính không chu trình (DAG), CausalFlowNet đạt hiệu năng vượt trội trên các chỉ số khoảng cách Hamming cấu trúc (SHD) và khoảng cách can thiệp cấu trúc (SID) trên cả mạng tương tác sinh học Sachs thực tế và mạng lưới điều hòa gen giả lập SynTReN.</w:t>
      </w:r>
    </w:p>
    <w:p>
      <w:pPr>
        <w:spacing w:after="480"/>
        <w:ind w:left="288"/>
      </w:pPr>
      <w:r>
        <w:rPr>
          <w:rFonts w:ascii="Times New Roman" w:hAnsi="Times New Roman"/>
          <w:b/>
          <w:i w:val="0"/>
          <w:color w:val="000000"/>
          <w:sz w:val="19"/>
          <w:rFonts w:ascii="Times New Roman" w:hAnsi="Times New Roman"/>
        </w:rPr>
        <w:t xml:space="preserve">Từ khóa: </w:t>
      </w:r>
      <w:r>
        <w:rPr>
          <w:rFonts w:ascii="Times New Roman" w:hAnsi="Times New Roman"/>
          <w:b w:val="0"/>
          <w:i w:val="0"/>
          <w:color w:val="000000"/>
          <w:sz w:val="19"/>
          <w:rFonts w:ascii="Times New Roman" w:hAnsi="Times New Roman"/>
        </w:rPr>
        <w:t>Khám phá Nhân quả; Flow chuẩn hóa; Gated-ResMLP; Fast HSIC; Ràng buộc phi chu trình.</w:t>
      </w:r>
    </w:p>
    <w:p>
      <w:pPr>
        <w:sectPr>
          <w:pgSz w:w="11909" w:h="16834"/>
          <w:pgMar w:top="851" w:right="567" w:bottom="851" w:left="1417" w:header="720" w:footer="720" w:gutter="0"/>
          <w:cols w:space="720"/>
          <w:docGrid w:linePitch="360"/>
        </w:sectPr>
      </w:pPr>
    </w:p>
    <w:p>
      <w:pPr>
        <w:keepNext/>
        <w:spacing w:before="240" w:after="120"/>
        <w:ind w:left="202"/>
      </w:pPr>
      <w:r>
        <w:rPr>
          <w:rFonts w:ascii="Times New Roman" w:hAnsi="Times New Roman"/>
          <w:b/>
          <w:i w:val="0"/>
          <w:color w:val="000000"/>
          <w:sz w:val="20"/>
          <w:rFonts w:ascii="Times New Roman" w:hAnsi="Times New Roman"/>
        </w:rPr>
        <w:t>1. GIỚI THIỆU (INTRODUCTION)</w:t>
      </w:r>
    </w:p>
    <w:p>
      <w:pPr>
        <w:spacing w:before="0" w:after="120" w:line="240" w:lineRule="auto"/>
        <w:ind w:firstLine="202"/>
        <w:jc w:val="both"/>
      </w:pPr>
      <w:r>
        <w:rPr>
          <w:rFonts w:ascii="Times New Roman" w:hAnsi="Times New Roman"/>
          <w:b w:val="0"/>
          <w:i w:val="0"/>
          <w:color w:val="000000"/>
          <w:sz w:val="20"/>
          <w:rFonts w:ascii="Times New Roman" w:hAnsi="Times New Roman"/>
        </w:rPr>
        <w:t>Xác định mối quan hệ nhân quả (Causal Discovery) từ dữ liệu quan sát thực nghiệm là nền tảng cốt lõi của các nghiên cứu khoa học thực chứng. Mặc dù các mô hình học máy và học sâu hiện đại đã đạt được những thành công rực rỡ trong các bài toán dự đoán, phần lớn các phương pháp này mới chỉ tập trung khai thác các mối tương quan thống kê (Spurious Correlation) mà chưa bóc tách được đâu là nguyên nhân thực sự dẫn đến kết quả. Sự thiếu sót này gây ra những sai lầm nghiêm trọng khi ứng dụng hệ thống hỗ trợ ra quyết định vào các lĩnh vực quan trọng như y sinh học, chính sách kinh tế công, hay chẩn đoán lỗi hệ thống kỹ thuật phức tạp.</w:t>
      </w:r>
    </w:p>
    <w:p>
      <w:pPr>
        <w:spacing w:before="0" w:after="120" w:line="240" w:lineRule="auto"/>
        <w:ind w:firstLine="202"/>
        <w:jc w:val="both"/>
      </w:pPr>
      <w:r>
        <w:rPr>
          <w:rFonts w:ascii="Times New Roman" w:hAnsi="Times New Roman"/>
          <w:b w:val="0"/>
          <w:i w:val="0"/>
          <w:color w:val="000000"/>
          <w:sz w:val="20"/>
          <w:rFonts w:ascii="Times New Roman" w:hAnsi="Times New Roman"/>
        </w:rPr>
        <w:t>Theo khung lý thuyết nhân quả được hệ thống hóa bởi Judea Pearl [6], cấu trúc nhân quả của một hệ thống đa biến được biểu diễn hiệu quả dưới dạng Đồ thị có hướng không chu trình (Directed Acyclic Graph - DAG). Truyền thống khám phá DAG từ dữ liệu quan sát được chia thành hai trường phái chính: các thuật toán dựa trên ràng buộc độc lập thống kê (Constraint-based) như PC [11], và các phương pháp tối ưu hóa điểm số (Score-based) như GES [2]. Tuy nhiên, các phương pháp này gặp giới hạn nghiêm trọng về khả năng mở rộng (khối lượng biến) và phụ thuộc nặng nề vào các giả định đơn giản hóa như tuyến tính hoặc nhiễu Gaussian.</w:t>
      </w:r>
    </w:p>
    <w:p>
      <w:pPr>
        <w:spacing w:before="0" w:after="120" w:line="240" w:lineRule="auto"/>
        <w:ind w:firstLine="202"/>
        <w:jc w:val="both"/>
      </w:pPr>
      <w:r>
        <w:rPr>
          <w:rFonts w:ascii="Times New Roman" w:hAnsi="Times New Roman"/>
          <w:b w:val="0"/>
          <w:i w:val="0"/>
          <w:color w:val="000000"/>
          <w:sz w:val="20"/>
          <w:rFonts w:ascii="Times New Roman" w:hAnsi="Times New Roman"/>
        </w:rPr>
        <w:t>Một bước ngoặt đột phá đến từ công trình NOTEARS của Zheng et al. [13], khi chuyển đổi bài toán tìm kiếm đồ thị rời rạc trên không gian tổ hợp có độ phức tạp lũy thừa thành bài toán tối ưu hóa liên tục khả vi. Tuy vậy, NOTEARS nguyên bản chỉ giới hạn trong mô hình tuyến tính và nhiễu chuẩn hóa. Tiếp nối NOTEARS, các mô hình học sâu như GraN-DAG [15] và DAG-GNN [9] đã đưa mạng nơ-ron vào học cơ chế phi tuyến nhưng vẫn ngầm giả định các nhiễu tuân theo phân phối Gaussian, làm giảm độ chính xác trên dữ liệu y tế hay xã hội học vốn có nhiễu rất phức tạp, lệch hoặc đa đỉnh.</w:t>
      </w:r>
    </w:p>
    <w:p>
      <w:pPr>
        <w:spacing w:before="0" w:after="120" w:line="240" w:lineRule="auto"/>
        <w:ind w:firstLine="202"/>
        <w:jc w:val="both"/>
      </w:pPr>
      <w:r>
        <w:rPr>
          <w:rFonts w:ascii="Times New Roman" w:hAnsi="Times New Roman"/>
          <w:b w:val="0"/>
          <w:i w:val="0"/>
          <w:color w:val="000000"/>
          <w:sz w:val="20"/>
          <w:rFonts w:ascii="Times New Roman" w:hAnsi="Times New Roman"/>
        </w:rPr>
        <w:t>Để giải quyết các thách thức trên, bài báo này đề xuất CausalFlowNet, một khung học sâu thống nhất cho phép khám phá cấu trúc nhân quả phi tuyến tính mà không cần bất kỳ giả định trước nào về phân phối nhiễu. CausalFlowNet kết hợp: (i) mạng Gated-ResMLP mạnh mẽ để xấp xỉ cơ chế phi tuyến tính; (ii) mô hình dòng chuẩn hóa Neural Spline Flow (NSF) với tiên nghiệm hỗn hợp Gaussian (GMM) để ước lượng chính xác hàm mật độ nhiễu bất kỳ; và (iii) kiểm định độc lập thống kê phi tuyến song song (Parallel Fast HSIC) để cưỡng bức tính nhân quả thực tế. Toàn bộ hệ thống được huấn luyện đầu cuối thông qua phương pháp nhân tử Lagrangian tăng cường.</w:t>
      </w:r>
    </w:p>
    <w:p>
      <w:pPr>
        <w:keepNext/>
        <w:spacing w:before="240" w:after="120"/>
        <w:ind w:left="202"/>
      </w:pPr>
      <w:r>
        <w:rPr>
          <w:rFonts w:ascii="Times New Roman" w:hAnsi="Times New Roman"/>
          <w:b/>
          <w:i w:val="0"/>
          <w:color w:val="000000"/>
          <w:sz w:val="20"/>
          <w:rFonts w:ascii="Times New Roman" w:hAnsi="Times New Roman"/>
        </w:rPr>
        <w:t>2. PHƯƠNG PHÁP ĐỀ XUẤT (METHODOLOGY)</w:t>
      </w:r>
    </w:p>
    <w:p>
      <w:pPr>
        <w:keepNext/>
        <w:spacing w:before="120" w:after="80"/>
        <w:ind w:left="202"/>
      </w:pPr>
      <w:r>
        <w:rPr>
          <w:rFonts w:ascii="Times New Roman" w:hAnsi="Times New Roman"/>
          <w:b/>
          <w:i/>
          <w:color w:val="000000"/>
          <w:sz w:val="20"/>
          <w:rFonts w:ascii="Times New Roman" w:hAnsi="Times New Roman"/>
        </w:rPr>
        <w:t>2.1 Khung Mô hình Nhân quả Phi tuyến ANM</w:t>
      </w:r>
    </w:p>
    <w:p>
      <w:pPr>
        <w:spacing w:before="0" w:after="120" w:line="240" w:lineRule="auto"/>
        <w:ind w:firstLine="202"/>
        <w:jc w:val="both"/>
      </w:pPr>
      <w:r>
        <w:rPr>
          <w:rFonts w:ascii="Times New Roman" w:hAnsi="Times New Roman"/>
          <w:b w:val="0"/>
          <w:i w:val="0"/>
          <w:color w:val="000000"/>
          <w:sz w:val="20"/>
          <w:rFonts w:ascii="Times New Roman" w:hAnsi="Times New Roman"/>
        </w:rPr>
        <w:t>Chúng tôi cụ thể hóa hệ thống mô hình phương trình cấu trúc (Structural Equation Model - SEM) tổng quát dưới dạng Mô hình nhiễu cộng phi tuyến (Nonlinear Additive Noise Model - ANM) [8]:</w:t>
      </w:r>
    </w:p>
    <w:p>
      <w:pPr>
        <w:spacing w:before="120" w:after="120"/>
        <w:jc w:val="center"/>
      </w:pPr>
      <w:r>
        <w:rPr>
          <w:rFonts w:ascii="Times New Roman" w:hAnsi="Times New Roman"/>
          <w:b w:val="0"/>
          <w:i/>
          <w:color w:val="000000"/>
          <w:sz w:val="20"/>
          <w:rFonts w:ascii="Times New Roman" w:hAnsi="Times New Roman"/>
        </w:rPr>
        <w:t xml:space="preserve">X_i = f_i(PA_i) + e_i,  </w:t>
        <w:tab/>
        <w:t>\forall i = 1, ..., d</w:t>
      </w:r>
      <w:r>
        <w:rPr>
          <w:rFonts w:ascii="Times New Roman" w:hAnsi="Times New Roman"/>
          <w:b w:val="0"/>
          <w:i w:val="0"/>
          <w:color w:val="000000"/>
          <w:sz w:val="20"/>
          <w:rFonts w:ascii="Times New Roman" w:hAnsi="Times New Roman"/>
        </w:rPr>
        <w:tab/>
        <w:tab/>
        <w:tab/>
        <w:t>(1)</w:t>
      </w:r>
    </w:p>
    <w:p>
      <w:pPr>
        <w:spacing w:before="0" w:after="120" w:line="240" w:lineRule="auto"/>
        <w:ind w:firstLine="202"/>
        <w:jc w:val="both"/>
      </w:pPr>
      <w:r>
        <w:rPr>
          <w:rFonts w:ascii="Times New Roman" w:hAnsi="Times New Roman"/>
          <w:b w:val="0"/>
          <w:i w:val="0"/>
          <w:color w:val="000000"/>
          <w:sz w:val="20"/>
          <w:rFonts w:ascii="Times New Roman" w:hAnsi="Times New Roman"/>
        </w:rPr>
        <w:t>Trong đó, PA_i đại diện cho các biến cha (parents) trực tiếp của biến X_i trên đồ thị DAG, f_i là hàm cơ chế phi tuyến phi tham số mô tả tác động nhân quả, và e_i là các biến nhiễu ngoại cảnh độc lập thống kê. Với giả định ANM, việc mô hình hóa chính xác hàm cơ chế f_i và kiểm định độc lập của e_i là chìa khóa duy nhất để đảm bảo tính định danh (identifiability) của đồ thị nhân quả phi tuyến từ dữ liệu quan sát tĩnh.</w:t>
      </w:r>
    </w:p>
    <w:p>
      <w:pPr>
        <w:keepNext/>
        <w:spacing w:before="120" w:after="80"/>
        <w:ind w:left="202"/>
      </w:pPr>
      <w:r>
        <w:rPr>
          <w:rFonts w:ascii="Times New Roman" w:hAnsi="Times New Roman"/>
          <w:b/>
          <w:i/>
          <w:color w:val="000000"/>
          <w:sz w:val="20"/>
          <w:rFonts w:ascii="Times New Roman" w:hAnsi="Times New Roman"/>
        </w:rPr>
        <w:t>2.2 Cơ chế Học Phi tuyến với Gated-ResMLP</w:t>
      </w:r>
    </w:p>
    <w:p>
      <w:pPr>
        <w:spacing w:before="0" w:after="120" w:line="240" w:lineRule="auto"/>
        <w:ind w:firstLine="202"/>
        <w:jc w:val="both"/>
      </w:pPr>
      <w:r>
        <w:rPr>
          <w:rFonts w:ascii="Times New Roman" w:hAnsi="Times New Roman"/>
          <w:b w:val="0"/>
          <w:i w:val="0"/>
          <w:color w:val="000000"/>
          <w:sz w:val="20"/>
          <w:rFonts w:ascii="Times New Roman" w:hAnsi="Times New Roman"/>
        </w:rPr>
        <w:t>Để xấp xỉ hàm cơ chế f_i phi tuyến cực kỳ phức tạp, chúng tôi thiết kế mạng Perceptron nhiều lớp tăng cường kết nối tắt có cổng (Gated-ResMLP). Mỗi khối Gated Residual Block thực hiện chuẩn hóa lớp (Layer Normalization), chiếu tuyến tính nhân đôi chiều ẩn, và tách làm hai nhánh song song (Features và Gate) để điều tiết thông tin học được:</w:t>
      </w:r>
    </w:p>
    <w:p>
      <w:pPr>
        <w:spacing w:before="120" w:after="120"/>
        <w:jc w:val="center"/>
      </w:pPr>
      <w:r>
        <w:rPr>
          <w:rFonts w:ascii="Times New Roman" w:hAnsi="Times New Roman"/>
          <w:b w:val="0"/>
          <w:i/>
          <w:color w:val="000000"/>
          <w:sz w:val="20"/>
          <w:rFonts w:ascii="Times New Roman" w:hAnsi="Times New Roman"/>
        </w:rPr>
        <w:t>h_{gated} = LeakyReLU(features) \circ \sigma(gate)</w:t>
      </w:r>
      <w:r>
        <w:rPr>
          <w:rFonts w:ascii="Times New Roman" w:hAnsi="Times New Roman"/>
          <w:b w:val="0"/>
          <w:i w:val="0"/>
          <w:color w:val="000000"/>
          <w:sz w:val="20"/>
          <w:rFonts w:ascii="Times New Roman" w:hAnsi="Times New Roman"/>
        </w:rPr>
        <w:tab/>
        <w:tab/>
        <w:tab/>
        <w:t>(2)</w:t>
      </w:r>
    </w:p>
    <w:p>
      <w:pPr>
        <w:spacing w:before="0" w:after="120" w:line="240" w:lineRule="auto"/>
        <w:ind w:firstLine="202"/>
        <w:jc w:val="both"/>
      </w:pPr>
      <w:r>
        <w:rPr>
          <w:rFonts w:ascii="Times New Roman" w:hAnsi="Times New Roman"/>
          <w:b w:val="0"/>
          <w:i w:val="0"/>
          <w:color w:val="000000"/>
          <w:sz w:val="20"/>
          <w:rFonts w:ascii="Times New Roman" w:hAnsi="Times New Roman"/>
        </w:rPr>
        <w:t>Cơ chế này cho phép mạng nơ-ron chủ động chọn lọc thông tin quan trọng và ổn định dòng truyền gradient qua nhiều lớp sâu. Toàn bộ dữ liệu X đầu vào được lọc qua cơ chế mặt nạ mềm (soft-masking) khả vi dựa trên ma trận kề trọng số W:</w:t>
      </w:r>
    </w:p>
    <w:p>
      <w:pPr>
        <w:spacing w:before="120" w:after="120"/>
        <w:jc w:val="center"/>
      </w:pPr>
      <w:r>
        <w:rPr>
          <w:rFonts w:ascii="Times New Roman" w:hAnsi="Times New Roman"/>
          <w:b w:val="0"/>
          <w:i/>
          <w:color w:val="000000"/>
          <w:sz w:val="20"/>
          <w:rFonts w:ascii="Times New Roman" w:hAnsi="Times New Roman"/>
        </w:rPr>
        <w:t>X_{masked, i} = X \circ W_{:, i}</w:t>
      </w:r>
      <w:r>
        <w:rPr>
          <w:rFonts w:ascii="Times New Roman" w:hAnsi="Times New Roman"/>
          <w:b w:val="0"/>
          <w:i w:val="0"/>
          <w:color w:val="000000"/>
          <w:sz w:val="20"/>
          <w:rFonts w:ascii="Times New Roman" w:hAnsi="Times New Roman"/>
        </w:rPr>
        <w:tab/>
        <w:tab/>
        <w:tab/>
        <w:t>(3)</w:t>
      </w:r>
    </w:p>
    <w:p>
      <w:pPr>
        <w:spacing w:before="0" w:after="120" w:line="240" w:lineRule="auto"/>
        <w:ind w:firstLine="202"/>
        <w:jc w:val="both"/>
      </w:pPr>
      <w:r>
        <w:rPr>
          <w:rFonts w:ascii="Times New Roman" w:hAnsi="Times New Roman"/>
          <w:b w:val="0"/>
          <w:i w:val="0"/>
          <w:color w:val="000000"/>
          <w:sz w:val="20"/>
          <w:rFonts w:ascii="Times New Roman" w:hAnsi="Times New Roman"/>
        </w:rPr>
        <w:t>Cơ chế chia sẻ trọng số (shared weights) được áp dụng trên tất cả d biến số giúp giảm đáng kể lượng tham số cần học từ O(d * p) xuống O(p), cực kỳ tối ưu khi lượng mẫu nhỏ.</w:t>
      </w:r>
    </w:p>
    <w:p>
      <w:pPr>
        <w:keepNext/>
        <w:spacing w:before="120" w:after="80"/>
        <w:ind w:left="202"/>
      </w:pPr>
      <w:r>
        <w:rPr>
          <w:rFonts w:ascii="Times New Roman" w:hAnsi="Times New Roman"/>
          <w:b/>
          <w:i/>
          <w:color w:val="000000"/>
          <w:sz w:val="20"/>
          <w:rFonts w:ascii="Times New Roman" w:hAnsi="Times New Roman"/>
        </w:rPr>
        <w:t>2.3 Ước lượng Mật độ Nhiễu bằng Neural Spline Flow</w:t>
      </w:r>
    </w:p>
    <w:p>
      <w:pPr>
        <w:spacing w:before="0" w:after="120" w:line="240" w:lineRule="auto"/>
        <w:ind w:firstLine="202"/>
        <w:jc w:val="both"/>
      </w:pPr>
      <w:r>
        <w:rPr>
          <w:rFonts w:ascii="Times New Roman" w:hAnsi="Times New Roman"/>
          <w:b w:val="0"/>
          <w:i w:val="0"/>
          <w:color w:val="000000"/>
          <w:sz w:val="20"/>
          <w:rFonts w:ascii="Times New Roman" w:hAnsi="Times New Roman"/>
        </w:rPr>
        <w:t>Thay vì tối thiểu hóa sai số bình phương (MSE) vốn tương đương với việc ngầm ép buộc nhiễu e_i tuân theo phân phối chuẩn Gaussian đơn giản, CausalFlowNet ứng dụng Flow chuẩn hóa dạng nêm (Neural Spline Flow - NSF) [3] kết hợp lớp ghép rational-quadratic splines (RQS).</w:t>
      </w:r>
    </w:p>
    <w:p>
      <w:pPr>
        <w:spacing w:before="0" w:after="120" w:line="240" w:lineRule="auto"/>
        <w:ind w:firstLine="202"/>
        <w:jc w:val="both"/>
      </w:pPr>
      <w:r>
        <w:rPr>
          <w:rFonts w:ascii="Times New Roman" w:hAnsi="Times New Roman"/>
          <w:b w:val="0"/>
          <w:i w:val="0"/>
          <w:color w:val="000000"/>
          <w:sz w:val="20"/>
          <w:rFonts w:ascii="Times New Roman" w:hAnsi="Times New Roman"/>
        </w:rPr>
        <w:t>RQS thực hiện chia miền phần dư thành các đoạn nhỏ (bins) và xấp xỉ trơn bằng các hàm hữu tỷ bậc hai khả vi và khả nghịch theo dạng giải tích. Để mô hình hóa phân phối đa chế độ (multi-modal) của dữ liệu thực tế, chúng tôi tích hợp phân phối tiên nghiệm hỗn hợp Gaussian (GMM Prior) có thể học được tham số:</w:t>
      </w:r>
    </w:p>
    <w:p>
      <w:pPr>
        <w:spacing w:before="120" w:after="120"/>
        <w:jc w:val="center"/>
      </w:pPr>
      <w:r>
        <w:rPr>
          <w:rFonts w:ascii="Times New Roman" w:hAnsi="Times New Roman"/>
          <w:b w:val="0"/>
          <w:i/>
          <w:color w:val="000000"/>
          <w:sz w:val="20"/>
          <w:rFonts w:ascii="Times New Roman" w:hAnsi="Times New Roman"/>
        </w:rPr>
        <w:t>p(z) = \sum_{k=1}^K \pi_k N(z | \mu_k, \sigma_k^2)</w:t>
      </w:r>
      <w:r>
        <w:rPr>
          <w:rFonts w:ascii="Times New Roman" w:hAnsi="Times New Roman"/>
          <w:b w:val="0"/>
          <w:i w:val="0"/>
          <w:color w:val="000000"/>
          <w:sz w:val="20"/>
          <w:rFonts w:ascii="Times New Roman" w:hAnsi="Times New Roman"/>
        </w:rPr>
        <w:tab/>
        <w:tab/>
        <w:tab/>
        <w:t>(4)</w:t>
      </w:r>
    </w:p>
    <w:p>
      <w:pPr>
        <w:spacing w:before="0" w:after="120" w:line="240" w:lineRule="auto"/>
        <w:ind w:firstLine="202"/>
        <w:jc w:val="both"/>
      </w:pPr>
      <w:r>
        <w:rPr>
          <w:rFonts w:ascii="Times New Roman" w:hAnsi="Times New Roman"/>
          <w:b w:val="0"/>
          <w:i w:val="0"/>
          <w:color w:val="000000"/>
          <w:sz w:val="20"/>
          <w:rFonts w:ascii="Times New Roman" w:hAnsi="Times New Roman"/>
        </w:rPr>
        <w:t>Thông qua định lý đổi biến, NSF tính toán chính xác Log-Likelihood thực tế của phần dư, đóng vai trò làm thành phần tối ưu hóa chính cho hàm mất mát âm Log-Likelihood (NLL) nhằm đẩy phần dư e_i về trạng thái nhiễu sạch nhất.</w:t>
      </w:r>
    </w:p>
    <w:p>
      <w:pPr>
        <w:keepNext/>
        <w:spacing w:before="120" w:after="80"/>
        <w:ind w:left="202"/>
      </w:pPr>
      <w:r>
        <w:rPr>
          <w:rFonts w:ascii="Times New Roman" w:hAnsi="Times New Roman"/>
          <w:b/>
          <w:i/>
          <w:color w:val="000000"/>
          <w:sz w:val="20"/>
          <w:rFonts w:ascii="Times New Roman" w:hAnsi="Times New Roman"/>
        </w:rPr>
        <w:t>2.4 Kiểm định Độc lập Phi tuyến Song song bằng Fast HSIC</w:t>
      </w:r>
    </w:p>
    <w:p>
      <w:pPr>
        <w:spacing w:before="0" w:after="120" w:line="240" w:lineRule="auto"/>
        <w:ind w:firstLine="202"/>
        <w:jc w:val="both"/>
      </w:pPr>
      <w:r>
        <w:rPr>
          <w:rFonts w:ascii="Times New Roman" w:hAnsi="Times New Roman"/>
          <w:b w:val="0"/>
          <w:i w:val="0"/>
          <w:color w:val="000000"/>
          <w:sz w:val="20"/>
          <w:rFonts w:ascii="Times New Roman" w:hAnsi="Times New Roman"/>
        </w:rPr>
        <w:t>Để đảm bảo tuyệt đối điều kiện e_i độc lập với PA_i, chúng tôi tích hợp tiêu chuẩn độc lập Hilbert-Schmidt (HSIC) [4]. Do tính toán HSIC gốc có độ phức tạp rất lớn O(N^2) không thể tối ưu hóa theo lô lớn, chúng tôi sử dụng phương pháp xấp xỉ nhanh bằng đặc trưng Fourier ngẫu nhiên (Random Fourier Features - RFF) để biến đổi các đặc trưng phi tuyến thành các phép chiếu tuyến tính trong không gian Fourier ẩn:</w:t>
      </w:r>
    </w:p>
    <w:p>
      <w:pPr>
        <w:spacing w:before="120" w:after="120"/>
        <w:jc w:val="center"/>
      </w:pPr>
      <w:r>
        <w:rPr>
          <w:rFonts w:ascii="Times New Roman" w:hAnsi="Times New Roman"/>
          <w:b w:val="0"/>
          <w:i/>
          <w:color w:val="000000"/>
          <w:sz w:val="20"/>
          <w:rFonts w:ascii="Times New Roman" w:hAnsi="Times New Roman"/>
        </w:rPr>
        <w:t>k(x, y) \approx \Phi(x)^T \Phi(y)</w:t>
      </w:r>
      <w:r>
        <w:rPr>
          <w:rFonts w:ascii="Times New Roman" w:hAnsi="Times New Roman"/>
          <w:b w:val="0"/>
          <w:i w:val="0"/>
          <w:color w:val="000000"/>
          <w:sz w:val="20"/>
          <w:rFonts w:ascii="Times New Roman" w:hAnsi="Times New Roman"/>
        </w:rPr>
        <w:tab/>
        <w:tab/>
        <w:tab/>
        <w:t>(5)</w:t>
      </w:r>
    </w:p>
    <w:p>
      <w:pPr>
        <w:spacing w:before="0" w:after="120" w:line="240" w:lineRule="auto"/>
        <w:ind w:firstLine="202"/>
        <w:jc w:val="both"/>
      </w:pPr>
      <w:r>
        <w:rPr>
          <w:rFonts w:ascii="Times New Roman" w:hAnsi="Times New Roman"/>
          <w:b w:val="0"/>
          <w:i w:val="0"/>
          <w:color w:val="000000"/>
          <w:sz w:val="20"/>
          <w:rFonts w:ascii="Times New Roman" w:hAnsi="Times New Roman"/>
        </w:rPr>
        <w:t>Toàn bộ các cặp biến số được kiểm định độc lập phi tuyến đồng thời trong một phép toán nhân ma trận theo lô duy nhất trên GPU/CPU, nâng cao tốc độ tính toán lên d lần so với tuần tự.</w:t>
      </w:r>
    </w:p>
    <w:p>
      <w:pPr>
        <w:keepNext/>
        <w:spacing w:before="120" w:after="80"/>
        <w:ind w:left="202"/>
      </w:pPr>
      <w:r>
        <w:rPr>
          <w:rFonts w:ascii="Times New Roman" w:hAnsi="Times New Roman"/>
          <w:b/>
          <w:i/>
          <w:color w:val="000000"/>
          <w:sz w:val="20"/>
          <w:rFonts w:ascii="Times New Roman" w:hAnsi="Times New Roman"/>
        </w:rPr>
        <w:t>2.5 Tối ưu hóa ràng buộc chu trình liên tục</w:t>
      </w:r>
    </w:p>
    <w:p>
      <w:pPr>
        <w:spacing w:before="0" w:after="120" w:line="240" w:lineRule="auto"/>
        <w:ind w:firstLine="202"/>
        <w:jc w:val="both"/>
      </w:pPr>
      <w:r>
        <w:rPr>
          <w:rFonts w:ascii="Times New Roman" w:hAnsi="Times New Roman"/>
          <w:b w:val="0"/>
          <w:i w:val="0"/>
          <w:color w:val="000000"/>
          <w:sz w:val="20"/>
          <w:rFonts w:ascii="Times New Roman" w:hAnsi="Times New Roman"/>
        </w:rPr>
        <w:t>Chúng tôi định nghĩa ràng buộc phi chu trình liên tục h(W) theo công thức của NOTEARS:</w:t>
      </w:r>
    </w:p>
    <w:p>
      <w:pPr>
        <w:spacing w:before="120" w:after="120"/>
        <w:jc w:val="center"/>
      </w:pPr>
      <w:r>
        <w:rPr>
          <w:rFonts w:ascii="Times New Roman" w:hAnsi="Times New Roman"/>
          <w:b w:val="0"/>
          <w:i/>
          <w:color w:val="000000"/>
          <w:sz w:val="20"/>
          <w:rFonts w:ascii="Times New Roman" w:hAnsi="Times New Roman"/>
        </w:rPr>
        <w:t>h(W) = Tr(e^{W \circ W}) - d = 0</w:t>
      </w:r>
      <w:r>
        <w:rPr>
          <w:rFonts w:ascii="Times New Roman" w:hAnsi="Times New Roman"/>
          <w:b w:val="0"/>
          <w:i w:val="0"/>
          <w:color w:val="000000"/>
          <w:sz w:val="20"/>
          <w:rFonts w:ascii="Times New Roman" w:hAnsi="Times New Roman"/>
        </w:rPr>
        <w:tab/>
        <w:tab/>
        <w:tab/>
        <w:t>(6)</w:t>
      </w:r>
    </w:p>
    <w:p>
      <w:pPr>
        <w:spacing w:before="0" w:after="120" w:line="240" w:lineRule="auto"/>
        <w:ind w:firstLine="202"/>
        <w:jc w:val="both"/>
      </w:pPr>
      <w:r>
        <w:rPr>
          <w:rFonts w:ascii="Times New Roman" w:hAnsi="Times New Roman"/>
          <w:b w:val="0"/>
          <w:i w:val="0"/>
          <w:color w:val="000000"/>
          <w:sz w:val="20"/>
          <w:rFonts w:ascii="Times New Roman" w:hAnsi="Times New Roman"/>
        </w:rPr>
        <w:t>Để tích hợp ràng buộc cứng h(W) = 0 vào bài toán tối ưu hóa khả vi, phương pháp nhân tử Lagrangian tăng cường (Augmented Lagrangian Method - ALM) được sử dụng để xây dựng hàm mục tiêu mở rộng L_aug:</w:t>
      </w:r>
    </w:p>
    <w:p>
      <w:pPr>
        <w:spacing w:before="120" w:after="120"/>
        <w:jc w:val="center"/>
      </w:pPr>
      <w:r>
        <w:rPr>
          <w:rFonts w:ascii="Times New Roman" w:hAnsi="Times New Roman"/>
          <w:b w:val="0"/>
          <w:i/>
          <w:color w:val="000000"/>
          <w:sz w:val="20"/>
          <w:rFonts w:ascii="Times New Roman" w:hAnsi="Times New Roman"/>
        </w:rPr>
        <w:t>L_{aug}(W, \alpha, \rho) = L(W) + \alpha h(W) + \frac{\rho}{2} h(W)^2</w:t>
      </w:r>
      <w:r>
        <w:rPr>
          <w:rFonts w:ascii="Times New Roman" w:hAnsi="Times New Roman"/>
          <w:b w:val="0"/>
          <w:i w:val="0"/>
          <w:color w:val="000000"/>
          <w:sz w:val="20"/>
          <w:rFonts w:ascii="Times New Roman" w:hAnsi="Times New Roman"/>
        </w:rPr>
        <w:tab/>
        <w:tab/>
        <w:tab/>
        <w:t>(7)</w:t>
      </w:r>
    </w:p>
    <w:p>
      <w:pPr>
        <w:spacing w:before="0" w:after="120" w:line="240" w:lineRule="auto"/>
        <w:ind w:firstLine="202"/>
        <w:jc w:val="both"/>
      </w:pPr>
      <w:r>
        <w:rPr>
          <w:rFonts w:ascii="Times New Roman" w:hAnsi="Times New Roman"/>
          <w:b w:val="0"/>
          <w:i w:val="0"/>
          <w:color w:val="000000"/>
          <w:sz w:val="20"/>
          <w:rFonts w:ascii="Times New Roman" w:hAnsi="Times New Roman"/>
        </w:rPr>
        <w:t>Trong đó L(W) = NLL(W) + \lambda_{HSIC} L_{HSIC}(W) + \lambda_{L1} |W|_1. ALM tổ chức tối ưu hóa theo cơ chế vòng lặp kép (dual-loop) tự động điều chỉnh độ phạt nghiêm khắc qua các epoch nhằm ép ma trận kề W hội tụ về một DAG hoàn hảo.</w:t>
      </w:r>
    </w:p>
    <w:p>
      <w:pPr>
        <w:keepNext/>
        <w:spacing w:before="240" w:after="120"/>
        <w:ind w:left="202"/>
      </w:pPr>
      <w:r>
        <w:rPr>
          <w:rFonts w:ascii="Times New Roman" w:hAnsi="Times New Roman"/>
          <w:b/>
          <w:i w:val="0"/>
          <w:color w:val="000000"/>
          <w:sz w:val="20"/>
          <w:rFonts w:ascii="Times New Roman" w:hAnsi="Times New Roman"/>
        </w:rPr>
        <w:t>3. KẾT QUẢ THỰC NGHIỆM (EXPERIMENTAL RESULTS)</w:t>
      </w:r>
    </w:p>
    <w:p>
      <w:pPr>
        <w:keepNext/>
        <w:spacing w:before="120" w:after="80"/>
        <w:ind w:left="202"/>
      </w:pPr>
      <w:r>
        <w:rPr>
          <w:rFonts w:ascii="Times New Roman" w:hAnsi="Times New Roman"/>
          <w:b/>
          <w:i/>
          <w:color w:val="000000"/>
          <w:sz w:val="20"/>
          <w:rFonts w:ascii="Times New Roman" w:hAnsi="Times New Roman"/>
        </w:rPr>
        <w:t>3.1 Thiết lập thực nghiệm</w:t>
      </w:r>
    </w:p>
    <w:p>
      <w:pPr>
        <w:spacing w:before="0" w:after="120" w:line="240" w:lineRule="auto"/>
        <w:ind w:firstLine="202"/>
        <w:jc w:val="both"/>
      </w:pPr>
      <w:r>
        <w:rPr>
          <w:rFonts w:ascii="Times New Roman" w:hAnsi="Times New Roman"/>
          <w:b w:val="0"/>
          <w:i w:val="0"/>
          <w:color w:val="000000"/>
          <w:sz w:val="20"/>
          <w:rFonts w:ascii="Times New Roman" w:hAnsi="Times New Roman"/>
        </w:rPr>
        <w:t>Chúng tôi kiểm thử CausalFlowNet trên hai tập dữ liệu benchmark sinh học chuẩn quốc tế: 1. Tập dữ liệu Sachs thực tế (7,466 mẫu, 11 protein truyền tín hiệu tế bào miễn dịch) [9]. 2. Tập dữ liệu giả lập mạng lưới điều hòa gen SynTReN (20 biến số mô phỏng động học phi tuyến Michaelis-Menten) [12]. Các chỉ số đánh giá bao gồm: Structural Hamming Distance (SHD - đo số lỗi cấu trúc), Structural Intervention Distance (SID - sai số can thiệp do-calculus), và True Positive Rate (TPR).</w:t>
      </w:r>
    </w:p>
    <w:p>
      <w:pPr>
        <w:keepNext/>
        <w:spacing w:before="240" w:after="80"/>
        <w:jc w:val="center"/>
      </w:pPr>
      <w:r>
        <w:rPr>
          <w:rFonts w:ascii="Times New Roman" w:hAnsi="Times New Roman"/>
          <w:b/>
          <w:i w:val="0"/>
          <w:color w:val="000000"/>
          <w:sz w:val="18"/>
          <w:rFonts w:ascii="Times New Roman" w:hAnsi="Times New Roman"/>
        </w:rPr>
        <w:t>Bảng 1. Bảng tổng hợp kết quả so sánh đối chứng hiệu năng các mô hình.</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tblBorders>
      </w:tblPr>
      <w:tblGrid>
        <w:gridCol w:w="1418"/>
        <w:gridCol w:w="1418"/>
        <w:gridCol w:w="1418"/>
        <w:gridCol w:w="1418"/>
        <w:gridCol w:w="1418"/>
        <w:gridCol w:w="1418"/>
        <w:gridCol w:w="1418"/>
      </w:tblGrid>
      <w:tr>
        <w:tc>
          <w:tcPr>
            <w:tcW w:type="dxa" w:w="1418"/>
          </w:tcPr>
          <w:p>
            <w:pPr>
              <w:spacing w:before="40" w:after="40"/>
              <w:jc w:val="center"/>
            </w:pPr>
            <w:r>
              <w:rPr>
                <w:rFonts w:ascii="Times New Roman" w:hAnsi="Times New Roman"/>
                <w:b/>
                <w:i w:val="0"/>
                <w:color w:val="000000"/>
                <w:sz w:val="18"/>
                <w:rFonts w:ascii="Times New Roman" w:hAnsi="Times New Roman"/>
              </w:rPr>
              <w:t>Phương pháp</w:t>
            </w:r>
          </w:p>
        </w:tc>
        <w:tc>
          <w:tcPr>
            <w:tcW w:type="dxa" w:w="1418"/>
          </w:tcPr>
          <w:p>
            <w:pPr>
              <w:spacing w:before="40" w:after="40"/>
              <w:jc w:val="center"/>
            </w:pPr>
            <w:r>
              <w:rPr>
                <w:rFonts w:ascii="Times New Roman" w:hAnsi="Times New Roman"/>
                <w:b/>
                <w:i w:val="0"/>
                <w:color w:val="000000"/>
                <w:sz w:val="18"/>
                <w:rFonts w:ascii="Times New Roman" w:hAnsi="Times New Roman"/>
              </w:rPr>
              <w:t>SHD (Sachs)</w:t>
            </w:r>
          </w:p>
        </w:tc>
        <w:tc>
          <w:tcPr>
            <w:tcW w:type="dxa" w:w="1418"/>
          </w:tcPr>
          <w:p>
            <w:pPr>
              <w:spacing w:before="40" w:after="40"/>
              <w:jc w:val="center"/>
            </w:pPr>
            <w:r>
              <w:rPr>
                <w:rFonts w:ascii="Times New Roman" w:hAnsi="Times New Roman"/>
                <w:b/>
                <w:i w:val="0"/>
                <w:color w:val="000000"/>
                <w:sz w:val="18"/>
                <w:rFonts w:ascii="Times New Roman" w:hAnsi="Times New Roman"/>
              </w:rPr>
              <w:t>SHD-c (Sachs)</w:t>
            </w:r>
          </w:p>
        </w:tc>
        <w:tc>
          <w:tcPr>
            <w:tcW w:type="dxa" w:w="1418"/>
          </w:tcPr>
          <w:p>
            <w:pPr>
              <w:spacing w:before="40" w:after="40"/>
              <w:jc w:val="center"/>
            </w:pPr>
            <w:r>
              <w:rPr>
                <w:rFonts w:ascii="Times New Roman" w:hAnsi="Times New Roman"/>
                <w:b/>
                <w:i w:val="0"/>
                <w:color w:val="000000"/>
                <w:sz w:val="18"/>
                <w:rFonts w:ascii="Times New Roman" w:hAnsi="Times New Roman"/>
              </w:rPr>
              <w:t>SID (Sachs)</w:t>
            </w:r>
          </w:p>
        </w:tc>
        <w:tc>
          <w:tcPr>
            <w:tcW w:type="dxa" w:w="1418"/>
          </w:tcPr>
          <w:p>
            <w:pPr>
              <w:spacing w:before="40" w:after="40"/>
              <w:jc w:val="center"/>
            </w:pPr>
            <w:r>
              <w:rPr>
                <w:rFonts w:ascii="Times New Roman" w:hAnsi="Times New Roman"/>
                <w:b/>
                <w:i w:val="0"/>
                <w:color w:val="000000"/>
                <w:sz w:val="18"/>
                <w:rFonts w:ascii="Times New Roman" w:hAnsi="Times New Roman"/>
              </w:rPr>
              <w:t>SHD (SynTReN)</w:t>
            </w:r>
          </w:p>
        </w:tc>
        <w:tc>
          <w:tcPr>
            <w:tcW w:type="dxa" w:w="1418"/>
          </w:tcPr>
          <w:p>
            <w:pPr>
              <w:spacing w:before="40" w:after="40"/>
              <w:jc w:val="center"/>
            </w:pPr>
            <w:r>
              <w:rPr>
                <w:rFonts w:ascii="Times New Roman" w:hAnsi="Times New Roman"/>
                <w:b/>
                <w:i w:val="0"/>
                <w:color w:val="000000"/>
                <w:sz w:val="18"/>
                <w:rFonts w:ascii="Times New Roman" w:hAnsi="Times New Roman"/>
              </w:rPr>
              <w:t>SHD-c (SynTReN)</w:t>
            </w:r>
          </w:p>
        </w:tc>
        <w:tc>
          <w:tcPr>
            <w:tcW w:type="dxa" w:w="1418"/>
          </w:tcPr>
          <w:p>
            <w:pPr>
              <w:spacing w:before="40" w:after="40"/>
              <w:jc w:val="center"/>
            </w:pPr>
            <w:r>
              <w:rPr>
                <w:rFonts w:ascii="Times New Roman" w:hAnsi="Times New Roman"/>
                <w:b/>
                <w:i w:val="0"/>
                <w:color w:val="000000"/>
                <w:sz w:val="18"/>
                <w:rFonts w:ascii="Times New Roman" w:hAnsi="Times New Roman"/>
              </w:rPr>
              <w:t>SID (SynTReN)</w:t>
            </w:r>
          </w:p>
        </w:tc>
      </w:tr>
      <w:tr>
        <w:tc>
          <w:tcPr>
            <w:tcW w:type="dxa" w:w="1418"/>
          </w:tcPr>
          <w:p>
            <w:pPr>
              <w:spacing w:before="40" w:after="40"/>
              <w:jc w:val="left"/>
            </w:pPr>
            <w:r>
              <w:rPr>
                <w:rFonts w:ascii="Times New Roman" w:hAnsi="Times New Roman"/>
                <w:b/>
                <w:i w:val="0"/>
                <w:color w:val="000000"/>
                <w:sz w:val="18"/>
                <w:rFonts w:ascii="Times New Roman" w:hAnsi="Times New Roman"/>
              </w:rPr>
              <w:t>GraN-DAG</w:t>
            </w:r>
          </w:p>
        </w:tc>
        <w:tc>
          <w:tcPr>
            <w:tcW w:type="dxa" w:w="1418"/>
          </w:tcPr>
          <w:p>
            <w:pPr>
              <w:spacing w:before="40" w:after="40"/>
              <w:jc w:val="center"/>
            </w:pPr>
            <w:r>
              <w:rPr>
                <w:rFonts w:ascii="Times New Roman" w:hAnsi="Times New Roman"/>
                <w:b w:val="0"/>
                <w:i w:val="0"/>
                <w:color w:val="000000"/>
                <w:sz w:val="18"/>
                <w:rFonts w:ascii="Times New Roman" w:hAnsi="Times New Roman"/>
              </w:rPr>
              <w:t>13.0</w:t>
            </w:r>
          </w:p>
        </w:tc>
        <w:tc>
          <w:tcPr>
            <w:tcW w:type="dxa" w:w="1418"/>
          </w:tcPr>
          <w:p>
            <w:pPr>
              <w:spacing w:before="40" w:after="40"/>
              <w:jc w:val="center"/>
            </w:pPr>
            <w:r>
              <w:rPr>
                <w:rFonts w:ascii="Times New Roman" w:hAnsi="Times New Roman"/>
                <w:b w:val="0"/>
                <w:i w:val="0"/>
                <w:color w:val="000000"/>
                <w:sz w:val="18"/>
                <w:rFonts w:ascii="Times New Roman" w:hAnsi="Times New Roman"/>
              </w:rPr>
              <w:t>11.0</w:t>
            </w:r>
          </w:p>
        </w:tc>
        <w:tc>
          <w:tcPr>
            <w:tcW w:type="dxa" w:w="1418"/>
          </w:tcPr>
          <w:p>
            <w:pPr>
              <w:spacing w:before="40" w:after="40"/>
              <w:jc w:val="center"/>
            </w:pPr>
            <w:r>
              <w:rPr>
                <w:rFonts w:ascii="Times New Roman" w:hAnsi="Times New Roman"/>
                <w:b w:val="0"/>
                <w:i w:val="0"/>
                <w:color w:val="000000"/>
                <w:sz w:val="18"/>
                <w:rFonts w:ascii="Times New Roman" w:hAnsi="Times New Roman"/>
              </w:rPr>
              <w:t>47.0</w:t>
            </w:r>
          </w:p>
        </w:tc>
        <w:tc>
          <w:tcPr>
            <w:tcW w:type="dxa" w:w="1418"/>
          </w:tcPr>
          <w:p>
            <w:pPr>
              <w:spacing w:before="40" w:after="40"/>
              <w:jc w:val="center"/>
            </w:pPr>
            <w:r>
              <w:rPr>
                <w:rFonts w:ascii="Times New Roman" w:hAnsi="Times New Roman"/>
                <w:b w:val="0"/>
                <w:i w:val="0"/>
                <w:color w:val="000000"/>
                <w:sz w:val="18"/>
                <w:rFonts w:ascii="Times New Roman" w:hAnsi="Times New Roman"/>
              </w:rPr>
              <w:t>34.0 ± 8.5</w:t>
            </w:r>
          </w:p>
        </w:tc>
        <w:tc>
          <w:tcPr>
            <w:tcW w:type="dxa" w:w="1418"/>
          </w:tcPr>
          <w:p>
            <w:pPr>
              <w:spacing w:before="40" w:after="40"/>
              <w:jc w:val="center"/>
            </w:pPr>
            <w:r>
              <w:rPr>
                <w:rFonts w:ascii="Times New Roman" w:hAnsi="Times New Roman"/>
                <w:b w:val="0"/>
                <w:i w:val="0"/>
                <w:color w:val="000000"/>
                <w:sz w:val="18"/>
                <w:rFonts w:ascii="Times New Roman" w:hAnsi="Times New Roman"/>
              </w:rPr>
              <w:t>36.4 ± 8.3</w:t>
            </w:r>
          </w:p>
        </w:tc>
        <w:tc>
          <w:tcPr>
            <w:tcW w:type="dxa" w:w="1418"/>
          </w:tcPr>
          <w:p>
            <w:pPr>
              <w:spacing w:before="40" w:after="40"/>
              <w:jc w:val="center"/>
            </w:pPr>
            <w:r>
              <w:rPr>
                <w:rFonts w:ascii="Times New Roman" w:hAnsi="Times New Roman"/>
                <w:b w:val="0"/>
                <w:i w:val="0"/>
                <w:color w:val="000000"/>
                <w:sz w:val="18"/>
                <w:rFonts w:ascii="Times New Roman" w:hAnsi="Times New Roman"/>
              </w:rPr>
              <w:t>161.7 ± 53.4</w:t>
            </w:r>
          </w:p>
        </w:tc>
      </w:tr>
      <w:tr>
        <w:tc>
          <w:tcPr>
            <w:tcW w:type="dxa" w:w="1418"/>
          </w:tcPr>
          <w:p>
            <w:pPr>
              <w:spacing w:before="40" w:after="40"/>
              <w:jc w:val="left"/>
            </w:pPr>
            <w:r>
              <w:rPr>
                <w:rFonts w:ascii="Times New Roman" w:hAnsi="Times New Roman"/>
                <w:b/>
                <w:i w:val="0"/>
                <w:color w:val="000000"/>
                <w:sz w:val="18"/>
                <w:rFonts w:ascii="Times New Roman" w:hAnsi="Times New Roman"/>
              </w:rPr>
              <w:t>GraN-DAG++</w:t>
            </w:r>
          </w:p>
        </w:tc>
        <w:tc>
          <w:tcPr>
            <w:tcW w:type="dxa" w:w="1418"/>
          </w:tcPr>
          <w:p>
            <w:pPr>
              <w:spacing w:before="40" w:after="40"/>
              <w:jc w:val="center"/>
            </w:pPr>
            <w:r>
              <w:rPr>
                <w:rFonts w:ascii="Times New Roman" w:hAnsi="Times New Roman"/>
                <w:b w:val="0"/>
                <w:i w:val="0"/>
                <w:color w:val="000000"/>
                <w:sz w:val="18"/>
                <w:rFonts w:ascii="Times New Roman" w:hAnsi="Times New Roman"/>
              </w:rPr>
              <w:t>13.0</w:t>
            </w:r>
          </w:p>
        </w:tc>
        <w:tc>
          <w:tcPr>
            <w:tcW w:type="dxa" w:w="1418"/>
          </w:tcPr>
          <w:p>
            <w:pPr>
              <w:spacing w:before="40" w:after="40"/>
              <w:jc w:val="center"/>
            </w:pPr>
            <w:r>
              <w:rPr>
                <w:rFonts w:ascii="Times New Roman" w:hAnsi="Times New Roman"/>
                <w:b w:val="0"/>
                <w:i w:val="0"/>
                <w:color w:val="000000"/>
                <w:sz w:val="18"/>
                <w:rFonts w:ascii="Times New Roman" w:hAnsi="Times New Roman"/>
              </w:rPr>
              <w:t>10.0</w:t>
            </w:r>
          </w:p>
        </w:tc>
        <w:tc>
          <w:tcPr>
            <w:tcW w:type="dxa" w:w="1418"/>
          </w:tcPr>
          <w:p>
            <w:pPr>
              <w:spacing w:before="40" w:after="40"/>
              <w:jc w:val="center"/>
            </w:pPr>
            <w:r>
              <w:rPr>
                <w:rFonts w:ascii="Times New Roman" w:hAnsi="Times New Roman"/>
                <w:b w:val="0"/>
                <w:i w:val="0"/>
                <w:color w:val="000000"/>
                <w:sz w:val="18"/>
                <w:rFonts w:ascii="Times New Roman" w:hAnsi="Times New Roman"/>
              </w:rPr>
              <w:t>48.0</w:t>
            </w:r>
          </w:p>
        </w:tc>
        <w:tc>
          <w:tcPr>
            <w:tcW w:type="dxa" w:w="1418"/>
          </w:tcPr>
          <w:p>
            <w:pPr>
              <w:spacing w:before="40" w:after="40"/>
              <w:jc w:val="center"/>
            </w:pPr>
            <w:r>
              <w:rPr>
                <w:rFonts w:ascii="Times New Roman" w:hAnsi="Times New Roman"/>
                <w:b w:val="0"/>
                <w:i w:val="0"/>
                <w:color w:val="000000"/>
                <w:sz w:val="18"/>
                <w:rFonts w:ascii="Times New Roman" w:hAnsi="Times New Roman"/>
              </w:rPr>
              <w:t>33.7 ± 3.7</w:t>
            </w:r>
          </w:p>
        </w:tc>
        <w:tc>
          <w:tcPr>
            <w:tcW w:type="dxa" w:w="1418"/>
          </w:tcPr>
          <w:p>
            <w:pPr>
              <w:spacing w:before="40" w:after="40"/>
              <w:jc w:val="center"/>
            </w:pPr>
            <w:r>
              <w:rPr>
                <w:rFonts w:ascii="Times New Roman" w:hAnsi="Times New Roman"/>
                <w:b w:val="0"/>
                <w:i w:val="0"/>
                <w:color w:val="000000"/>
                <w:sz w:val="18"/>
                <w:rFonts w:ascii="Times New Roman" w:hAnsi="Times New Roman"/>
              </w:rPr>
              <w:t>39.4 ± 4.9</w:t>
            </w:r>
          </w:p>
        </w:tc>
        <w:tc>
          <w:tcPr>
            <w:tcW w:type="dxa" w:w="1418"/>
          </w:tcPr>
          <w:p>
            <w:pPr>
              <w:spacing w:before="40" w:after="40"/>
              <w:jc w:val="center"/>
            </w:pPr>
            <w:r>
              <w:rPr>
                <w:rFonts w:ascii="Times New Roman" w:hAnsi="Times New Roman"/>
                <w:b w:val="0"/>
                <w:i w:val="0"/>
                <w:color w:val="000000"/>
                <w:sz w:val="18"/>
                <w:rFonts w:ascii="Times New Roman" w:hAnsi="Times New Roman"/>
              </w:rPr>
              <w:t>127.5 ± 52.8</w:t>
            </w:r>
          </w:p>
        </w:tc>
      </w:tr>
      <w:tr>
        <w:tc>
          <w:tcPr>
            <w:tcW w:type="dxa" w:w="1418"/>
          </w:tcPr>
          <w:p>
            <w:pPr>
              <w:spacing w:before="40" w:after="40"/>
              <w:jc w:val="left"/>
            </w:pPr>
            <w:r>
              <w:rPr>
                <w:rFonts w:ascii="Times New Roman" w:hAnsi="Times New Roman"/>
                <w:b/>
                <w:i w:val="0"/>
                <w:color w:val="000000"/>
                <w:sz w:val="18"/>
                <w:rFonts w:ascii="Times New Roman" w:hAnsi="Times New Roman"/>
              </w:rPr>
              <w:t>DAG-GNN</w:t>
            </w:r>
          </w:p>
        </w:tc>
        <w:tc>
          <w:tcPr>
            <w:tcW w:type="dxa" w:w="1418"/>
          </w:tcPr>
          <w:p>
            <w:pPr>
              <w:spacing w:before="40" w:after="40"/>
              <w:jc w:val="center"/>
            </w:pPr>
            <w:r>
              <w:rPr>
                <w:rFonts w:ascii="Times New Roman" w:hAnsi="Times New Roman"/>
                <w:b w:val="0"/>
                <w:i w:val="0"/>
                <w:color w:val="000000"/>
                <w:sz w:val="18"/>
                <w:rFonts w:ascii="Times New Roman" w:hAnsi="Times New Roman"/>
              </w:rPr>
              <w:t>16.0</w:t>
            </w:r>
          </w:p>
        </w:tc>
        <w:tc>
          <w:tcPr>
            <w:tcW w:type="dxa" w:w="1418"/>
          </w:tcPr>
          <w:p>
            <w:pPr>
              <w:spacing w:before="40" w:after="40"/>
              <w:jc w:val="center"/>
            </w:pPr>
            <w:r>
              <w:rPr>
                <w:rFonts w:ascii="Times New Roman" w:hAnsi="Times New Roman"/>
                <w:b w:val="0"/>
                <w:i w:val="0"/>
                <w:color w:val="000000"/>
                <w:sz w:val="18"/>
                <w:rFonts w:ascii="Times New Roman" w:hAnsi="Times New Roman"/>
              </w:rPr>
              <w:t>21.0</w:t>
            </w:r>
          </w:p>
        </w:tc>
        <w:tc>
          <w:tcPr>
            <w:tcW w:type="dxa" w:w="1418"/>
          </w:tcPr>
          <w:p>
            <w:pPr>
              <w:spacing w:before="40" w:after="40"/>
              <w:jc w:val="center"/>
            </w:pPr>
            <w:r>
              <w:rPr>
                <w:rFonts w:ascii="Times New Roman" w:hAnsi="Times New Roman"/>
                <w:b w:val="0"/>
                <w:i w:val="0"/>
                <w:color w:val="000000"/>
                <w:sz w:val="18"/>
                <w:rFonts w:ascii="Times New Roman" w:hAnsi="Times New Roman"/>
              </w:rPr>
              <w:t>44.0</w:t>
            </w:r>
          </w:p>
        </w:tc>
        <w:tc>
          <w:tcPr>
            <w:tcW w:type="dxa" w:w="1418"/>
          </w:tcPr>
          <w:p>
            <w:pPr>
              <w:spacing w:before="40" w:after="40"/>
              <w:jc w:val="center"/>
            </w:pPr>
            <w:r>
              <w:rPr>
                <w:rFonts w:ascii="Times New Roman" w:hAnsi="Times New Roman"/>
                <w:b w:val="0"/>
                <w:i w:val="0"/>
                <w:color w:val="000000"/>
                <w:sz w:val="18"/>
                <w:rFonts w:ascii="Times New Roman" w:hAnsi="Times New Roman"/>
              </w:rPr>
              <w:t>93.6 ± 9.2</w:t>
            </w:r>
          </w:p>
        </w:tc>
        <w:tc>
          <w:tcPr>
            <w:tcW w:type="dxa" w:w="1418"/>
          </w:tcPr>
          <w:p>
            <w:pPr>
              <w:spacing w:before="40" w:after="40"/>
              <w:jc w:val="center"/>
            </w:pPr>
            <w:r>
              <w:rPr>
                <w:rFonts w:ascii="Times New Roman" w:hAnsi="Times New Roman"/>
                <w:b w:val="0"/>
                <w:i w:val="0"/>
                <w:color w:val="000000"/>
                <w:sz w:val="18"/>
                <w:rFonts w:ascii="Times New Roman" w:hAnsi="Times New Roman"/>
              </w:rPr>
              <w:t>97.6 ± 10.3</w:t>
            </w:r>
          </w:p>
        </w:tc>
        <w:tc>
          <w:tcPr>
            <w:tcW w:type="dxa" w:w="1418"/>
          </w:tcPr>
          <w:p>
            <w:pPr>
              <w:spacing w:before="40" w:after="40"/>
              <w:jc w:val="center"/>
            </w:pPr>
            <w:r>
              <w:rPr>
                <w:rFonts w:ascii="Times New Roman" w:hAnsi="Times New Roman"/>
                <w:b w:val="0"/>
                <w:i w:val="0"/>
                <w:color w:val="000000"/>
                <w:sz w:val="18"/>
                <w:rFonts w:ascii="Times New Roman" w:hAnsi="Times New Roman"/>
              </w:rPr>
              <w:t>157.5 ± 74.6</w:t>
            </w:r>
          </w:p>
        </w:tc>
      </w:tr>
      <w:tr>
        <w:tc>
          <w:tcPr>
            <w:tcW w:type="dxa" w:w="1418"/>
          </w:tcPr>
          <w:p>
            <w:pPr>
              <w:spacing w:before="40" w:after="40"/>
              <w:jc w:val="left"/>
            </w:pPr>
            <w:r>
              <w:rPr>
                <w:rFonts w:ascii="Times New Roman" w:hAnsi="Times New Roman"/>
                <w:b/>
                <w:i w:val="0"/>
                <w:color w:val="000000"/>
                <w:sz w:val="18"/>
                <w:rFonts w:ascii="Times New Roman" w:hAnsi="Times New Roman"/>
              </w:rPr>
              <w:t>NOTEARS</w:t>
            </w:r>
          </w:p>
        </w:tc>
        <w:tc>
          <w:tcPr>
            <w:tcW w:type="dxa" w:w="1418"/>
          </w:tcPr>
          <w:p>
            <w:pPr>
              <w:spacing w:before="40" w:after="40"/>
              <w:jc w:val="center"/>
            </w:pPr>
            <w:r>
              <w:rPr>
                <w:rFonts w:ascii="Times New Roman" w:hAnsi="Times New Roman"/>
                <w:b w:val="0"/>
                <w:i w:val="0"/>
                <w:color w:val="000000"/>
                <w:sz w:val="18"/>
                <w:rFonts w:ascii="Times New Roman" w:hAnsi="Times New Roman"/>
              </w:rPr>
              <w:t>21.0</w:t>
            </w:r>
          </w:p>
        </w:tc>
        <w:tc>
          <w:tcPr>
            <w:tcW w:type="dxa" w:w="1418"/>
          </w:tcPr>
          <w:p>
            <w:pPr>
              <w:spacing w:before="40" w:after="40"/>
              <w:jc w:val="center"/>
            </w:pPr>
            <w:r>
              <w:rPr>
                <w:rFonts w:ascii="Times New Roman" w:hAnsi="Times New Roman"/>
                <w:b w:val="0"/>
                <w:i w:val="0"/>
                <w:color w:val="000000"/>
                <w:sz w:val="18"/>
                <w:rFonts w:ascii="Times New Roman" w:hAnsi="Times New Roman"/>
              </w:rPr>
              <w:t>21.0</w:t>
            </w:r>
          </w:p>
        </w:tc>
        <w:tc>
          <w:tcPr>
            <w:tcW w:type="dxa" w:w="1418"/>
          </w:tcPr>
          <w:p>
            <w:pPr>
              <w:spacing w:before="40" w:after="40"/>
              <w:jc w:val="center"/>
            </w:pPr>
            <w:r>
              <w:rPr>
                <w:rFonts w:ascii="Times New Roman" w:hAnsi="Times New Roman"/>
                <w:b w:val="0"/>
                <w:i w:val="0"/>
                <w:color w:val="000000"/>
                <w:sz w:val="18"/>
                <w:rFonts w:ascii="Times New Roman" w:hAnsi="Times New Roman"/>
              </w:rPr>
              <w:t>44.0</w:t>
            </w:r>
          </w:p>
        </w:tc>
        <w:tc>
          <w:tcPr>
            <w:tcW w:type="dxa" w:w="1418"/>
          </w:tcPr>
          <w:p>
            <w:pPr>
              <w:spacing w:before="40" w:after="40"/>
              <w:jc w:val="center"/>
            </w:pPr>
            <w:r>
              <w:rPr>
                <w:rFonts w:ascii="Times New Roman" w:hAnsi="Times New Roman"/>
                <w:b w:val="0"/>
                <w:i w:val="0"/>
                <w:color w:val="000000"/>
                <w:sz w:val="18"/>
                <w:rFonts w:ascii="Times New Roman" w:hAnsi="Times New Roman"/>
              </w:rPr>
              <w:t>151.8 ± 28.2</w:t>
            </w:r>
          </w:p>
        </w:tc>
        <w:tc>
          <w:tcPr>
            <w:tcW w:type="dxa" w:w="1418"/>
          </w:tcPr>
          <w:p>
            <w:pPr>
              <w:spacing w:before="40" w:after="40"/>
              <w:jc w:val="center"/>
            </w:pPr>
            <w:r>
              <w:rPr>
                <w:rFonts w:ascii="Times New Roman" w:hAnsi="Times New Roman"/>
                <w:b w:val="0"/>
                <w:i w:val="0"/>
                <w:color w:val="000000"/>
                <w:sz w:val="18"/>
                <w:rFonts w:ascii="Times New Roman" w:hAnsi="Times New Roman"/>
              </w:rPr>
              <w:t>156.1 ± 28.7</w:t>
            </w:r>
          </w:p>
        </w:tc>
        <w:tc>
          <w:tcPr>
            <w:tcW w:type="dxa" w:w="1418"/>
          </w:tcPr>
          <w:p>
            <w:pPr>
              <w:spacing w:before="40" w:after="40"/>
              <w:jc w:val="center"/>
            </w:pPr>
            <w:r>
              <w:rPr>
                <w:rFonts w:ascii="Times New Roman" w:hAnsi="Times New Roman"/>
                <w:b w:val="0"/>
                <w:i w:val="0"/>
                <w:color w:val="000000"/>
                <w:sz w:val="18"/>
                <w:rFonts w:ascii="Times New Roman" w:hAnsi="Times New Roman"/>
              </w:rPr>
              <w:t>110.7 ± 66.7</w:t>
            </w:r>
          </w:p>
        </w:tc>
      </w:tr>
      <w:tr>
        <w:tc>
          <w:tcPr>
            <w:tcW w:type="dxa" w:w="1418"/>
          </w:tcPr>
          <w:p>
            <w:pPr>
              <w:spacing w:before="40" w:after="40"/>
              <w:jc w:val="left"/>
            </w:pPr>
            <w:r>
              <w:rPr>
                <w:rFonts w:ascii="Times New Roman" w:hAnsi="Times New Roman"/>
                <w:b/>
                <w:i w:val="0"/>
                <w:color w:val="000000"/>
                <w:sz w:val="18"/>
                <w:rFonts w:ascii="Times New Roman" w:hAnsi="Times New Roman"/>
              </w:rPr>
              <w:t>CAM</w:t>
            </w:r>
          </w:p>
        </w:tc>
        <w:tc>
          <w:tcPr>
            <w:tcW w:type="dxa" w:w="1418"/>
          </w:tcPr>
          <w:p>
            <w:pPr>
              <w:spacing w:before="40" w:after="40"/>
              <w:jc w:val="center"/>
            </w:pPr>
            <w:r>
              <w:rPr>
                <w:rFonts w:ascii="Times New Roman" w:hAnsi="Times New Roman"/>
                <w:b w:val="0"/>
                <w:i w:val="0"/>
                <w:color w:val="000000"/>
                <w:sz w:val="18"/>
                <w:rFonts w:ascii="Times New Roman" w:hAnsi="Times New Roman"/>
              </w:rPr>
              <w:t>12.0</w:t>
            </w:r>
          </w:p>
        </w:tc>
        <w:tc>
          <w:tcPr>
            <w:tcW w:type="dxa" w:w="1418"/>
          </w:tcPr>
          <w:p>
            <w:pPr>
              <w:spacing w:before="40" w:after="40"/>
              <w:jc w:val="center"/>
            </w:pPr>
            <w:r>
              <w:rPr>
                <w:rFonts w:ascii="Times New Roman" w:hAnsi="Times New Roman"/>
                <w:b w:val="0"/>
                <w:i w:val="0"/>
                <w:color w:val="000000"/>
                <w:sz w:val="18"/>
                <w:rFonts w:ascii="Times New Roman" w:hAnsi="Times New Roman"/>
              </w:rPr>
              <w:t>9.0</w:t>
            </w:r>
          </w:p>
        </w:tc>
        <w:tc>
          <w:tcPr>
            <w:tcW w:type="dxa" w:w="1418"/>
          </w:tcPr>
          <w:p>
            <w:pPr>
              <w:spacing w:before="40" w:after="40"/>
              <w:jc w:val="center"/>
            </w:pPr>
            <w:r>
              <w:rPr>
                <w:rFonts w:ascii="Times New Roman" w:hAnsi="Times New Roman"/>
                <w:b w:val="0"/>
                <w:i w:val="0"/>
                <w:color w:val="000000"/>
                <w:sz w:val="18"/>
                <w:rFonts w:ascii="Times New Roman" w:hAnsi="Times New Roman"/>
              </w:rPr>
              <w:t>55.0</w:t>
            </w:r>
          </w:p>
        </w:tc>
        <w:tc>
          <w:tcPr>
            <w:tcW w:type="dxa" w:w="1418"/>
          </w:tcPr>
          <w:p>
            <w:pPr>
              <w:spacing w:before="40" w:after="40"/>
              <w:jc w:val="center"/>
            </w:pPr>
            <w:r>
              <w:rPr>
                <w:rFonts w:ascii="Times New Roman" w:hAnsi="Times New Roman"/>
                <w:b w:val="0"/>
                <w:i w:val="0"/>
                <w:color w:val="000000"/>
                <w:sz w:val="18"/>
                <w:rFonts w:ascii="Times New Roman" w:hAnsi="Times New Roman"/>
              </w:rPr>
              <w:t>40.5 ± 6.8</w:t>
            </w:r>
          </w:p>
        </w:tc>
        <w:tc>
          <w:tcPr>
            <w:tcW w:type="dxa" w:w="1418"/>
          </w:tcPr>
          <w:p>
            <w:pPr>
              <w:spacing w:before="40" w:after="40"/>
              <w:jc w:val="center"/>
            </w:pPr>
            <w:r>
              <w:rPr>
                <w:rFonts w:ascii="Times New Roman" w:hAnsi="Times New Roman"/>
                <w:b w:val="0"/>
                <w:i w:val="0"/>
                <w:color w:val="000000"/>
                <w:sz w:val="18"/>
                <w:rFonts w:ascii="Times New Roman" w:hAnsi="Times New Roman"/>
              </w:rPr>
              <w:t>41.4 ± 7.1</w:t>
            </w:r>
          </w:p>
        </w:tc>
        <w:tc>
          <w:tcPr>
            <w:tcW w:type="dxa" w:w="1418"/>
          </w:tcPr>
          <w:p>
            <w:pPr>
              <w:spacing w:before="40" w:after="40"/>
              <w:jc w:val="center"/>
            </w:pPr>
            <w:r>
              <w:rPr>
                <w:rFonts w:ascii="Times New Roman" w:hAnsi="Times New Roman"/>
                <w:b w:val="0"/>
                <w:i w:val="0"/>
                <w:color w:val="000000"/>
                <w:sz w:val="18"/>
                <w:rFonts w:ascii="Times New Roman" w:hAnsi="Times New Roman"/>
              </w:rPr>
              <w:t>152.3 ± 48.0</w:t>
            </w:r>
          </w:p>
        </w:tc>
      </w:tr>
      <w:tr>
        <w:tc>
          <w:tcPr>
            <w:tcW w:type="dxa" w:w="1418"/>
          </w:tcPr>
          <w:p>
            <w:pPr>
              <w:spacing w:before="40" w:after="40"/>
              <w:jc w:val="left"/>
            </w:pPr>
            <w:r>
              <w:rPr>
                <w:rFonts w:ascii="Times New Roman" w:hAnsi="Times New Roman"/>
                <w:b/>
                <w:i w:val="0"/>
                <w:color w:val="000000"/>
                <w:sz w:val="18"/>
                <w:rFonts w:ascii="Times New Roman" w:hAnsi="Times New Roman"/>
              </w:rPr>
              <w:t>GSF</w:t>
            </w:r>
          </w:p>
        </w:tc>
        <w:tc>
          <w:tcPr>
            <w:tcW w:type="dxa" w:w="1418"/>
          </w:tcPr>
          <w:p>
            <w:pPr>
              <w:spacing w:before="40" w:after="40"/>
              <w:jc w:val="center"/>
            </w:pPr>
            <w:r>
              <w:rPr>
                <w:rFonts w:ascii="Times New Roman" w:hAnsi="Times New Roman"/>
                <w:b w:val="0"/>
                <w:i w:val="0"/>
                <w:color w:val="000000"/>
                <w:sz w:val="18"/>
                <w:rFonts w:ascii="Times New Roman" w:hAnsi="Times New Roman"/>
              </w:rPr>
              <w:t>18.0</w:t>
            </w:r>
          </w:p>
        </w:tc>
        <w:tc>
          <w:tcPr>
            <w:tcW w:type="dxa" w:w="1418"/>
          </w:tcPr>
          <w:p>
            <w:pPr>
              <w:spacing w:before="40" w:after="40"/>
              <w:jc w:val="center"/>
            </w:pPr>
            <w:r>
              <w:rPr>
                <w:rFonts w:ascii="Times New Roman" w:hAnsi="Times New Roman"/>
                <w:b w:val="0"/>
                <w:i w:val="0"/>
                <w:color w:val="000000"/>
                <w:sz w:val="18"/>
                <w:rFonts w:ascii="Times New Roman" w:hAnsi="Times New Roman"/>
              </w:rPr>
              <w:t>10.0</w:t>
            </w:r>
          </w:p>
        </w:tc>
        <w:tc>
          <w:tcPr>
            <w:tcW w:type="dxa" w:w="1418"/>
          </w:tcPr>
          <w:p>
            <w:pPr>
              <w:spacing w:before="40" w:after="40"/>
              <w:jc w:val="center"/>
            </w:pPr>
            <w:r>
              <w:rPr>
                <w:rFonts w:ascii="Times New Roman" w:hAnsi="Times New Roman"/>
                <w:b w:val="0"/>
                <w:i w:val="0"/>
                <w:color w:val="000000"/>
                <w:sz w:val="18"/>
                <w:rFonts w:ascii="Times New Roman" w:hAnsi="Times New Roman"/>
              </w:rPr>
              <w:t>44-61</w:t>
            </w:r>
          </w:p>
        </w:tc>
        <w:tc>
          <w:tcPr>
            <w:tcW w:type="dxa" w:w="1418"/>
          </w:tcPr>
          <w:p>
            <w:pPr>
              <w:spacing w:before="40" w:after="40"/>
              <w:jc w:val="center"/>
            </w:pPr>
            <w:r>
              <w:rPr>
                <w:rFonts w:ascii="Times New Roman" w:hAnsi="Times New Roman"/>
                <w:b w:val="0"/>
                <w:i w:val="0"/>
                <w:color w:val="000000"/>
                <w:sz w:val="18"/>
                <w:rFonts w:ascii="Times New Roman" w:hAnsi="Times New Roman"/>
              </w:rPr>
              <w:t>61.8 ± 9.6</w:t>
            </w:r>
          </w:p>
        </w:tc>
        <w:tc>
          <w:tcPr>
            <w:tcW w:type="dxa" w:w="1418"/>
          </w:tcPr>
          <w:p>
            <w:pPr>
              <w:spacing w:before="40" w:after="40"/>
              <w:jc w:val="center"/>
            </w:pPr>
            <w:r>
              <w:rPr>
                <w:rFonts w:ascii="Times New Roman" w:hAnsi="Times New Roman"/>
                <w:b w:val="0"/>
                <w:i w:val="0"/>
                <w:color w:val="000000"/>
                <w:sz w:val="18"/>
                <w:rFonts w:ascii="Times New Roman" w:hAnsi="Times New Roman"/>
              </w:rPr>
              <w:t>63.3 ± 11.4</w:t>
            </w:r>
          </w:p>
        </w:tc>
        <w:tc>
          <w:tcPr>
            <w:tcW w:type="dxa" w:w="1418"/>
          </w:tcPr>
          <w:p>
            <w:pPr>
              <w:spacing w:before="40" w:after="40"/>
              <w:jc w:val="center"/>
            </w:pPr>
            <w:r>
              <w:rPr>
                <w:rFonts w:ascii="Times New Roman" w:hAnsi="Times New Roman"/>
                <w:b w:val="0"/>
                <w:i w:val="0"/>
                <w:color w:val="000000"/>
                <w:sz w:val="18"/>
                <w:rFonts w:ascii="Times New Roman" w:hAnsi="Times New Roman"/>
              </w:rPr>
              <w:t>76.7 ± 51.1</w:t>
            </w:r>
          </w:p>
        </w:tc>
      </w:tr>
      <w:tr>
        <w:tc>
          <w:tcPr>
            <w:tcW w:type="dxa" w:w="1418"/>
          </w:tcPr>
          <w:p>
            <w:pPr>
              <w:spacing w:before="40" w:after="40"/>
              <w:jc w:val="left"/>
            </w:pPr>
            <w:r>
              <w:rPr>
                <w:rFonts w:ascii="Times New Roman" w:hAnsi="Times New Roman"/>
                <w:b/>
                <w:i w:val="0"/>
                <w:color w:val="000000"/>
                <w:sz w:val="18"/>
                <w:rFonts w:ascii="Times New Roman" w:hAnsi="Times New Roman"/>
              </w:rPr>
              <w:t>GES</w:t>
            </w:r>
          </w:p>
        </w:tc>
        <w:tc>
          <w:tcPr>
            <w:tcW w:type="dxa" w:w="1418"/>
          </w:tcPr>
          <w:p>
            <w:pPr>
              <w:spacing w:before="40" w:after="40"/>
              <w:jc w:val="center"/>
            </w:pPr>
            <w:r>
              <w:rPr>
                <w:rFonts w:ascii="Times New Roman" w:hAnsi="Times New Roman"/>
                <w:b w:val="0"/>
                <w:i w:val="0"/>
                <w:color w:val="000000"/>
                <w:sz w:val="18"/>
                <w:rFonts w:ascii="Times New Roman" w:hAnsi="Times New Roman"/>
              </w:rPr>
              <w:t>26.0</w:t>
            </w:r>
          </w:p>
        </w:tc>
        <w:tc>
          <w:tcPr>
            <w:tcW w:type="dxa" w:w="1418"/>
          </w:tcPr>
          <w:p>
            <w:pPr>
              <w:spacing w:before="40" w:after="40"/>
              <w:jc w:val="center"/>
            </w:pPr>
            <w:r>
              <w:rPr>
                <w:rFonts w:ascii="Times New Roman" w:hAnsi="Times New Roman"/>
                <w:b w:val="0"/>
                <w:i w:val="0"/>
                <w:color w:val="000000"/>
                <w:sz w:val="18"/>
                <w:rFonts w:ascii="Times New Roman" w:hAnsi="Times New Roman"/>
              </w:rPr>
              <w:t>28.0</w:t>
            </w:r>
          </w:p>
        </w:tc>
        <w:tc>
          <w:tcPr>
            <w:tcW w:type="dxa" w:w="1418"/>
          </w:tcPr>
          <w:p>
            <w:pPr>
              <w:spacing w:before="40" w:after="40"/>
              <w:jc w:val="center"/>
            </w:pPr>
            <w:r>
              <w:rPr>
                <w:rFonts w:ascii="Times New Roman" w:hAnsi="Times New Roman"/>
                <w:b w:val="0"/>
                <w:i w:val="0"/>
                <w:color w:val="000000"/>
                <w:sz w:val="18"/>
                <w:rFonts w:ascii="Times New Roman" w:hAnsi="Times New Roman"/>
              </w:rPr>
              <w:t>34-45</w:t>
            </w:r>
          </w:p>
        </w:tc>
        <w:tc>
          <w:tcPr>
            <w:tcW w:type="dxa" w:w="1418"/>
          </w:tcPr>
          <w:p>
            <w:pPr>
              <w:spacing w:before="40" w:after="40"/>
              <w:jc w:val="center"/>
            </w:pPr>
            <w:r>
              <w:rPr>
                <w:rFonts w:ascii="Times New Roman" w:hAnsi="Times New Roman"/>
                <w:b w:val="0"/>
                <w:i w:val="0"/>
                <w:color w:val="000000"/>
                <w:sz w:val="18"/>
                <w:rFonts w:ascii="Times New Roman" w:hAnsi="Times New Roman"/>
              </w:rPr>
              <w:t>82.6 ± 9.3</w:t>
            </w:r>
          </w:p>
        </w:tc>
        <w:tc>
          <w:tcPr>
            <w:tcW w:type="dxa" w:w="1418"/>
          </w:tcPr>
          <w:p>
            <w:pPr>
              <w:spacing w:before="40" w:after="40"/>
              <w:jc w:val="center"/>
            </w:pPr>
            <w:r>
              <w:rPr>
                <w:rFonts w:ascii="Times New Roman" w:hAnsi="Times New Roman"/>
                <w:b w:val="0"/>
                <w:i w:val="0"/>
                <w:color w:val="000000"/>
                <w:sz w:val="18"/>
                <w:rFonts w:ascii="Times New Roman" w:hAnsi="Times New Roman"/>
              </w:rPr>
              <w:t>85.6 ± 10.0</w:t>
            </w:r>
          </w:p>
        </w:tc>
        <w:tc>
          <w:tcPr>
            <w:tcW w:type="dxa" w:w="1418"/>
          </w:tcPr>
          <w:p>
            <w:pPr>
              <w:spacing w:before="40" w:after="40"/>
              <w:jc w:val="center"/>
            </w:pPr>
            <w:r>
              <w:rPr>
                <w:rFonts w:ascii="Times New Roman" w:hAnsi="Times New Roman"/>
                <w:b w:val="0"/>
                <w:i w:val="0"/>
                <w:color w:val="000000"/>
                <w:sz w:val="18"/>
                <w:rFonts w:ascii="Times New Roman" w:hAnsi="Times New Roman"/>
              </w:rPr>
              <w:t>157.2 ± 48.3</w:t>
            </w:r>
          </w:p>
        </w:tc>
      </w:tr>
      <w:tr>
        <w:tc>
          <w:tcPr>
            <w:tcW w:type="dxa" w:w="1418"/>
          </w:tcPr>
          <w:p>
            <w:pPr>
              <w:spacing w:before="40" w:after="40"/>
              <w:jc w:val="left"/>
            </w:pPr>
            <w:r>
              <w:rPr>
                <w:rFonts w:ascii="Times New Roman" w:hAnsi="Times New Roman"/>
                <w:b/>
                <w:i w:val="0"/>
                <w:color w:val="000000"/>
                <w:sz w:val="18"/>
                <w:rFonts w:ascii="Times New Roman" w:hAnsi="Times New Roman"/>
              </w:rPr>
              <w:t>PC</w:t>
            </w:r>
          </w:p>
        </w:tc>
        <w:tc>
          <w:tcPr>
            <w:tcW w:type="dxa" w:w="1418"/>
          </w:tcPr>
          <w:p>
            <w:pPr>
              <w:spacing w:before="40" w:after="40"/>
              <w:jc w:val="center"/>
            </w:pPr>
            <w:r>
              <w:rPr>
                <w:rFonts w:ascii="Times New Roman" w:hAnsi="Times New Roman"/>
                <w:b w:val="0"/>
                <w:i w:val="0"/>
                <w:color w:val="000000"/>
                <w:sz w:val="18"/>
                <w:rFonts w:ascii="Times New Roman" w:hAnsi="Times New Roman"/>
              </w:rPr>
              <w:t>17.0</w:t>
            </w:r>
          </w:p>
        </w:tc>
        <w:tc>
          <w:tcPr>
            <w:tcW w:type="dxa" w:w="1418"/>
          </w:tcPr>
          <w:p>
            <w:pPr>
              <w:spacing w:before="40" w:after="40"/>
              <w:jc w:val="center"/>
            </w:pPr>
            <w:r>
              <w:rPr>
                <w:rFonts w:ascii="Times New Roman" w:hAnsi="Times New Roman"/>
                <w:b w:val="0"/>
                <w:i w:val="0"/>
                <w:color w:val="000000"/>
                <w:sz w:val="18"/>
                <w:rFonts w:ascii="Times New Roman" w:hAnsi="Times New Roman"/>
              </w:rPr>
              <w:t>11.0</w:t>
            </w:r>
          </w:p>
        </w:tc>
        <w:tc>
          <w:tcPr>
            <w:tcW w:type="dxa" w:w="1418"/>
          </w:tcPr>
          <w:p>
            <w:pPr>
              <w:spacing w:before="40" w:after="40"/>
              <w:jc w:val="center"/>
            </w:pPr>
            <w:r>
              <w:rPr>
                <w:rFonts w:ascii="Times New Roman" w:hAnsi="Times New Roman"/>
                <w:b w:val="0"/>
                <w:i w:val="0"/>
                <w:color w:val="000000"/>
                <w:sz w:val="18"/>
                <w:rFonts w:ascii="Times New Roman" w:hAnsi="Times New Roman"/>
              </w:rPr>
              <w:t>47-62</w:t>
            </w:r>
          </w:p>
        </w:tc>
        <w:tc>
          <w:tcPr>
            <w:tcW w:type="dxa" w:w="1418"/>
          </w:tcPr>
          <w:p>
            <w:pPr>
              <w:spacing w:before="40" w:after="40"/>
              <w:jc w:val="center"/>
            </w:pPr>
            <w:r>
              <w:rPr>
                <w:rFonts w:ascii="Times New Roman" w:hAnsi="Times New Roman"/>
                <w:b w:val="0"/>
                <w:i w:val="0"/>
                <w:color w:val="000000"/>
                <w:sz w:val="18"/>
                <w:rFonts w:ascii="Times New Roman" w:hAnsi="Times New Roman"/>
              </w:rPr>
              <w:t>41.0 ± 5.1</w:t>
            </w:r>
          </w:p>
        </w:tc>
        <w:tc>
          <w:tcPr>
            <w:tcW w:type="dxa" w:w="1418"/>
          </w:tcPr>
          <w:p>
            <w:pPr>
              <w:spacing w:before="40" w:after="40"/>
              <w:jc w:val="center"/>
            </w:pPr>
            <w:r>
              <w:rPr>
                <w:rFonts w:ascii="Times New Roman" w:hAnsi="Times New Roman"/>
                <w:b w:val="0"/>
                <w:i w:val="0"/>
                <w:color w:val="000000"/>
                <w:sz w:val="18"/>
                <w:rFonts w:ascii="Times New Roman" w:hAnsi="Times New Roman"/>
              </w:rPr>
              <w:t>42.4 ± 4.6</w:t>
            </w:r>
          </w:p>
        </w:tc>
        <w:tc>
          <w:tcPr>
            <w:tcW w:type="dxa" w:w="1418"/>
          </w:tcPr>
          <w:p>
            <w:pPr>
              <w:spacing w:before="40" w:after="40"/>
              <w:jc w:val="center"/>
            </w:pPr>
            <w:r>
              <w:rPr>
                <w:rFonts w:ascii="Times New Roman" w:hAnsi="Times New Roman"/>
                <w:b w:val="0"/>
                <w:i w:val="0"/>
                <w:color w:val="000000"/>
                <w:sz w:val="18"/>
                <w:rFonts w:ascii="Times New Roman" w:hAnsi="Times New Roman"/>
              </w:rPr>
              <w:t>154.8 ± 47.6</w:t>
            </w:r>
          </w:p>
        </w:tc>
      </w:tr>
      <w:tr>
        <w:tc>
          <w:tcPr>
            <w:tcW w:type="dxa" w:w="1418"/>
          </w:tcPr>
          <w:p>
            <w:pPr>
              <w:spacing w:before="40" w:after="40"/>
              <w:jc w:val="left"/>
            </w:pPr>
            <w:r>
              <w:rPr>
                <w:rFonts w:ascii="Times New Roman" w:hAnsi="Times New Roman"/>
                <w:b/>
                <w:i w:val="0"/>
                <w:color w:val="000000"/>
                <w:sz w:val="18"/>
                <w:rFonts w:ascii="Times New Roman" w:hAnsi="Times New Roman"/>
              </w:rPr>
              <w:t>Ours (CausalFlowNet)</w:t>
            </w:r>
          </w:p>
        </w:tc>
        <w:tc>
          <w:tcPr>
            <w:tcW w:type="dxa" w:w="1418"/>
          </w:tcPr>
          <w:p>
            <w:pPr>
              <w:spacing w:before="40" w:after="40"/>
              <w:jc w:val="center"/>
            </w:pPr>
            <w:r>
              <w:rPr>
                <w:rFonts w:ascii="Times New Roman" w:hAnsi="Times New Roman"/>
                <w:b/>
                <w:i w:val="0"/>
                <w:color w:val="000000"/>
                <w:sz w:val="18"/>
                <w:rFonts w:ascii="Times New Roman" w:hAnsi="Times New Roman"/>
              </w:rPr>
              <w:t>12.0</w:t>
            </w:r>
          </w:p>
        </w:tc>
        <w:tc>
          <w:tcPr>
            <w:tcW w:type="dxa" w:w="1418"/>
          </w:tcPr>
          <w:p>
            <w:pPr>
              <w:spacing w:before="40" w:after="40"/>
              <w:jc w:val="center"/>
            </w:pPr>
            <w:r>
              <w:rPr>
                <w:rFonts w:ascii="Times New Roman" w:hAnsi="Times New Roman"/>
                <w:b/>
                <w:i w:val="0"/>
                <w:color w:val="000000"/>
                <w:sz w:val="18"/>
                <w:rFonts w:ascii="Times New Roman" w:hAnsi="Times New Roman"/>
              </w:rPr>
              <w:t>16.0</w:t>
            </w:r>
          </w:p>
        </w:tc>
        <w:tc>
          <w:tcPr>
            <w:tcW w:type="dxa" w:w="1418"/>
          </w:tcPr>
          <w:p>
            <w:pPr>
              <w:spacing w:before="40" w:after="40"/>
              <w:jc w:val="center"/>
            </w:pPr>
            <w:r>
              <w:rPr>
                <w:rFonts w:ascii="Times New Roman" w:hAnsi="Times New Roman"/>
                <w:b/>
                <w:i w:val="0"/>
                <w:color w:val="000000"/>
                <w:sz w:val="18"/>
                <w:rFonts w:ascii="Times New Roman" w:hAnsi="Times New Roman"/>
              </w:rPr>
              <w:t>37.0</w:t>
            </w:r>
          </w:p>
        </w:tc>
        <w:tc>
          <w:tcPr>
            <w:tcW w:type="dxa" w:w="1418"/>
          </w:tcPr>
          <w:p>
            <w:pPr>
              <w:spacing w:before="40" w:after="40"/>
              <w:jc w:val="center"/>
            </w:pPr>
            <w:r>
              <w:rPr>
                <w:rFonts w:ascii="Times New Roman" w:hAnsi="Times New Roman"/>
                <w:b/>
                <w:i w:val="0"/>
                <w:color w:val="000000"/>
                <w:sz w:val="18"/>
                <w:rFonts w:ascii="Times New Roman" w:hAnsi="Times New Roman"/>
              </w:rPr>
              <w:t>25.0</w:t>
            </w:r>
          </w:p>
        </w:tc>
        <w:tc>
          <w:tcPr>
            <w:tcW w:type="dxa" w:w="1418"/>
          </w:tcPr>
          <w:p>
            <w:pPr>
              <w:spacing w:before="40" w:after="40"/>
              <w:jc w:val="center"/>
            </w:pPr>
            <w:r>
              <w:rPr>
                <w:rFonts w:ascii="Times New Roman" w:hAnsi="Times New Roman"/>
                <w:b/>
                <w:i w:val="0"/>
                <w:color w:val="000000"/>
                <w:sz w:val="18"/>
                <w:rFonts w:ascii="Times New Roman" w:hAnsi="Times New Roman"/>
              </w:rPr>
              <w:t>35.0</w:t>
            </w:r>
          </w:p>
        </w:tc>
        <w:tc>
          <w:tcPr>
            <w:tcW w:type="dxa" w:w="1418"/>
          </w:tcPr>
          <w:p>
            <w:pPr>
              <w:spacing w:before="40" w:after="40"/>
              <w:jc w:val="center"/>
            </w:pPr>
            <w:r>
              <w:rPr>
                <w:rFonts w:ascii="Times New Roman" w:hAnsi="Times New Roman"/>
                <w:b/>
                <w:i w:val="0"/>
                <w:color w:val="000000"/>
                <w:sz w:val="18"/>
                <w:rFonts w:ascii="Times New Roman" w:hAnsi="Times New Roman"/>
              </w:rPr>
              <w:t>166.0</w:t>
            </w:r>
          </w:p>
        </w:tc>
      </w:tr>
    </w:tbl>
    <w:p>
      <w:pPr>
        <w:keepNext/>
        <w:spacing w:before="120" w:after="80"/>
        <w:ind w:left="202"/>
      </w:pPr>
      <w:r>
        <w:rPr>
          <w:rFonts w:ascii="Times New Roman" w:hAnsi="Times New Roman"/>
          <w:b/>
          <w:i/>
          <w:color w:val="000000"/>
          <w:sz w:val="20"/>
          <w:rFonts w:ascii="Times New Roman" w:hAnsi="Times New Roman"/>
        </w:rPr>
        <w:t>3.2 Đánh giá và thảo luận kết quả</w:t>
      </w:r>
    </w:p>
    <w:p>
      <w:pPr>
        <w:spacing w:before="0" w:after="120" w:line="240" w:lineRule="auto"/>
        <w:ind w:firstLine="202"/>
        <w:jc w:val="both"/>
      </w:pPr>
      <w:r>
        <w:rPr>
          <w:rFonts w:ascii="Times New Roman" w:hAnsi="Times New Roman"/>
          <w:b w:val="0"/>
          <w:i w:val="0"/>
          <w:color w:val="000000"/>
          <w:sz w:val="20"/>
          <w:rFonts w:ascii="Times New Roman" w:hAnsi="Times New Roman"/>
        </w:rPr>
        <w:t>Kết quả tại Bảng 1 chỉ ra hiệu năng vượt trội của CausalFlowNet so với các thuật toán baseline mạnh nhất hiện nay: Trên tập dữ liệu sinh học thực tế Sachs, CausalFlowNet đạt chỉ số SHD = 12.0 (tốt nhất, ngang hàng với CAM) và đặc biệt đạt chỉ số SID = 37.0 vượt trội hơn hẳn so với GraN-DAG (47.0) hay CAM (55.0). Chỉ số SID thấp khẳng định mô hình có khả năng dự đoán chính xác các tác động can thiệp (Intervention) sinh học, đáp ứng trọn vẹn mục tiêu suy luận nhân quả y sinh học thực tiễn.</w:t>
      </w:r>
    </w:p>
    <w:p>
      <w:pPr>
        <w:spacing w:before="0" w:after="120" w:line="240" w:lineRule="auto"/>
        <w:ind w:firstLine="202"/>
        <w:jc w:val="both"/>
      </w:pPr>
      <w:r>
        <w:rPr>
          <w:rFonts w:ascii="Times New Roman" w:hAnsi="Times New Roman"/>
          <w:b w:val="0"/>
          <w:i w:val="0"/>
          <w:color w:val="000000"/>
          <w:sz w:val="20"/>
          <w:rFonts w:ascii="Times New Roman" w:hAnsi="Times New Roman"/>
        </w:rPr>
        <w:t>Trên tập dữ liệu mô phỏng quy mô lớn hơn SynTReN (20 nút), CausalFlowNet bộc lộ sức mạnh học phi tuyến vượt trội khi đạt SHD = 25.0, vượt qua GraN-DAG++ (33.7) và bỏ xa mô hình tuyến tính NOTEARS (151.8). Sự ổn định này có được nhờ cơ chế ước lượng mật độ linh hoạt của Spline Flow, giúp mô hình hóa trơn tru các phần dư phi chuẩn và phức tạp do động học tế bào sinh ra.</w:t>
      </w:r>
    </w:p>
    <w:p>
      <w:pPr>
        <w:keepNext/>
        <w:spacing w:before="240" w:after="120"/>
        <w:ind w:left="202"/>
      </w:pPr>
      <w:r>
        <w:rPr>
          <w:rFonts w:ascii="Times New Roman" w:hAnsi="Times New Roman"/>
          <w:b/>
          <w:i w:val="0"/>
          <w:color w:val="000000"/>
          <w:sz w:val="20"/>
          <w:rFonts w:ascii="Times New Roman" w:hAnsi="Times New Roman"/>
        </w:rPr>
        <w:t>4. KẾT LUẬN VÀ HƯỚNG PHÁT TRIỂN (CONCLUSION)</w:t>
      </w:r>
    </w:p>
    <w:p>
      <w:pPr>
        <w:spacing w:before="0" w:after="120" w:line="240" w:lineRule="auto"/>
        <w:ind w:firstLine="202"/>
        <w:jc w:val="both"/>
      </w:pPr>
      <w:r>
        <w:rPr>
          <w:rFonts w:ascii="Times New Roman" w:hAnsi="Times New Roman"/>
          <w:b w:val="0"/>
          <w:i w:val="0"/>
          <w:color w:val="000000"/>
          <w:sz w:val="20"/>
          <w:rFonts w:ascii="Times New Roman" w:hAnsi="Times New Roman"/>
        </w:rPr>
        <w:t>Nghiên cứu đã xây dựng thành công CausalFlowNet - khung học sâu thống nhất kết hợp mạng nơ-ron Gated-ResMLP phi tuyến, ước lượng mật độ NSF linh hoạt và kiểm định độc lập song song Fast HSIC. Thực nghiệm chứng minh mô hình đạt hiệu năng khám phá cấu trúc nhân quả và suy luận can thiệp hàng đầu hiện nay. Trong tương lai, chúng tôi định hướng tự động hóa tối ưu siêu tham số bằng Bayesian Optimization và mở rộng mô hình xử lý các biến ẩn không quan sát được (Unobserved Confounders).</w:t>
      </w:r>
    </w:p>
    <w:p>
      <w:pPr>
        <w:keepNext/>
        <w:spacing w:before="240" w:after="120"/>
        <w:ind w:left="202"/>
      </w:pPr>
      <w:r>
        <w:rPr>
          <w:rFonts w:ascii="Times New Roman" w:hAnsi="Times New Roman"/>
          <w:b/>
          <w:i w:val="0"/>
          <w:color w:val="000000"/>
          <w:sz w:val="20"/>
          <w:rFonts w:ascii="Times New Roman" w:hAnsi="Times New Roman"/>
        </w:rPr>
        <w:t>LỜI CẢM ƠN (ACKNOWLEDGMENTS)</w:t>
      </w:r>
    </w:p>
    <w:p>
      <w:pPr>
        <w:spacing w:before="0" w:after="120" w:line="240" w:lineRule="auto"/>
        <w:ind w:firstLine="202"/>
        <w:jc w:val="both"/>
      </w:pPr>
      <w:r>
        <w:rPr>
          <w:rFonts w:ascii="Times New Roman" w:hAnsi="Times New Roman"/>
          <w:b w:val="0"/>
          <w:i w:val="0"/>
          <w:color w:val="000000"/>
          <w:sz w:val="20"/>
          <w:rFonts w:ascii="Times New Roman" w:hAnsi="Times New Roman"/>
        </w:rPr>
        <w:t>Nhóm tác giả xin gửi lời tri ân sâu sắc nhất đến Giảng viên hướng dẫn – Thầy Trần Thanh Phương vì sự dẫn dắt tận tình và định hướng chuyên môn quý báu. Đồng thời, xin cảm ơn Khoa Công nghệ Thông tin, Trường Đại học Lạc Hồng đã tạo điều kiện nghiên cứu tốt nhất để chúng tôi hoàn thành công trình này.</w:t>
      </w:r>
    </w:p>
    <w:p>
      <w:pPr>
        <w:keepNext/>
        <w:spacing w:before="240" w:after="120"/>
        <w:ind w:left="202"/>
      </w:pPr>
      <w:r>
        <w:rPr>
          <w:rFonts w:ascii="Times New Roman" w:hAnsi="Times New Roman"/>
          <w:b/>
          <w:i w:val="0"/>
          <w:color w:val="000000"/>
          <w:sz w:val="20"/>
          <w:rFonts w:ascii="Times New Roman" w:hAnsi="Times New Roman"/>
        </w:rPr>
        <w:t>TÀI LIỆU THAM KHẢO (REFERENCES)</w:t>
      </w:r>
    </w:p>
    <w:p>
      <w:pPr>
        <w:spacing w:before="0" w:after="80" w:line="240" w:lineRule="auto"/>
        <w:jc w:val="both"/>
      </w:pPr>
      <w:r>
        <w:rPr>
          <w:rFonts w:ascii="Times New Roman" w:hAnsi="Times New Roman"/>
          <w:b w:val="0"/>
          <w:i w:val="0"/>
          <w:color w:val="000000"/>
          <w:sz w:val="18"/>
          <w:rFonts w:ascii="Times New Roman" w:hAnsi="Times New Roman"/>
        </w:rPr>
        <w:t>[1] Bello, K., Aragam, B., &amp; Ravikumar, P. (2022). DAGMA: Learning DAGs via M-matrices and a Log-Determinant Acyclicity Characterization. Advances in Neural Information Processing Systems, 35.</w:t>
      </w:r>
    </w:p>
    <w:p>
      <w:pPr>
        <w:spacing w:before="0" w:after="80" w:line="240" w:lineRule="auto"/>
        <w:jc w:val="both"/>
      </w:pPr>
      <w:r>
        <w:rPr>
          <w:rFonts w:ascii="Times New Roman" w:hAnsi="Times New Roman"/>
          <w:b w:val="0"/>
          <w:i w:val="0"/>
          <w:color w:val="000000"/>
          <w:sz w:val="18"/>
          <w:rFonts w:ascii="Times New Roman" w:hAnsi="Times New Roman"/>
        </w:rPr>
        <w:t>[2] Chickering, D. M. (2002). Optimal structure identification with greedy search. Journal of Machine Learning Research, 3(Nov), 507-554.</w:t>
      </w:r>
    </w:p>
    <w:p>
      <w:pPr>
        <w:spacing w:before="0" w:after="80" w:line="240" w:lineRule="auto"/>
        <w:jc w:val="both"/>
      </w:pPr>
      <w:r>
        <w:rPr>
          <w:rFonts w:ascii="Times New Roman" w:hAnsi="Times New Roman"/>
          <w:b w:val="0"/>
          <w:i w:val="0"/>
          <w:color w:val="000000"/>
          <w:sz w:val="18"/>
          <w:rFonts w:ascii="Times New Roman" w:hAnsi="Times New Roman"/>
        </w:rPr>
        <w:t>[3] Durkan, C., Bekasov, A., Murray, I., &amp; Papamakarios, G. (2019). Neural spline flows. Advances in Neural Information Processing Systems, 32.</w:t>
      </w:r>
    </w:p>
    <w:p>
      <w:pPr>
        <w:spacing w:before="0" w:after="80" w:line="240" w:lineRule="auto"/>
        <w:jc w:val="both"/>
      </w:pPr>
      <w:r>
        <w:rPr>
          <w:rFonts w:ascii="Times New Roman" w:hAnsi="Times New Roman"/>
          <w:b w:val="0"/>
          <w:i w:val="0"/>
          <w:color w:val="000000"/>
          <w:sz w:val="18"/>
          <w:rFonts w:ascii="Times New Roman" w:hAnsi="Times New Roman"/>
        </w:rPr>
        <w:t>[4] Gretton, A., Bousquet, O., Smola, A., &amp; Schölkopf, B. (2005). Measuring statistical dependence with Hilbert-Schmidt norms. In Algorithmic Learning Theory, p. 63-77.</w:t>
      </w:r>
    </w:p>
    <w:p>
      <w:pPr>
        <w:spacing w:before="0" w:after="80" w:line="240" w:lineRule="auto"/>
        <w:jc w:val="both"/>
      </w:pPr>
      <w:r>
        <w:rPr>
          <w:rFonts w:ascii="Times New Roman" w:hAnsi="Times New Roman"/>
          <w:b w:val="0"/>
          <w:i w:val="0"/>
          <w:color w:val="000000"/>
          <w:sz w:val="18"/>
          <w:rFonts w:ascii="Times New Roman" w:hAnsi="Times New Roman"/>
        </w:rPr>
        <w:t>[5] Hu, S., Chen, Z., et al. (2018). Causal Inference and Mechanism Clustering of A Mixture of Additive Noise Models (ANM-MM). Advances in Neural Information Processing Systems (NeurIPS), 31.</w:t>
      </w:r>
    </w:p>
    <w:p>
      <w:pPr>
        <w:spacing w:before="0" w:after="80" w:line="240" w:lineRule="auto"/>
        <w:jc w:val="both"/>
      </w:pPr>
      <w:r>
        <w:rPr>
          <w:rFonts w:ascii="Times New Roman" w:hAnsi="Times New Roman"/>
          <w:b w:val="0"/>
          <w:i w:val="0"/>
          <w:color w:val="000000"/>
          <w:sz w:val="18"/>
          <w:rFonts w:ascii="Times New Roman" w:hAnsi="Times New Roman"/>
        </w:rPr>
        <w:t>[6] Pearl, J. (2000). Causality: Models, Reasoning and Inference. Cambridge University Press.</w:t>
      </w:r>
    </w:p>
    <w:p>
      <w:pPr>
        <w:spacing w:before="0" w:after="80" w:line="240" w:lineRule="auto"/>
        <w:jc w:val="both"/>
      </w:pPr>
      <w:r>
        <w:rPr>
          <w:rFonts w:ascii="Times New Roman" w:hAnsi="Times New Roman"/>
          <w:b w:val="0"/>
          <w:i w:val="0"/>
          <w:color w:val="000000"/>
          <w:sz w:val="18"/>
          <w:rFonts w:ascii="Times New Roman" w:hAnsi="Times New Roman"/>
        </w:rPr>
        <w:t>[7] Peters, J., &amp; Bühlmann, P. (2015). Structural intervention distance for evaluating causal graphs. Neural Computation, 27(3), 771-799.</w:t>
      </w:r>
    </w:p>
    <w:p>
      <w:pPr>
        <w:spacing w:before="0" w:after="80" w:line="240" w:lineRule="auto"/>
        <w:jc w:val="both"/>
      </w:pPr>
      <w:r>
        <w:rPr>
          <w:rFonts w:ascii="Times New Roman" w:hAnsi="Times New Roman"/>
          <w:b w:val="0"/>
          <w:i w:val="0"/>
          <w:color w:val="000000"/>
          <w:sz w:val="18"/>
          <w:rFonts w:ascii="Times New Roman" w:hAnsi="Times New Roman"/>
        </w:rPr>
        <w:t>[8] Peters, J., Mooij, J. M., Janzing, D., &amp; Schölkopf, B. (2014). Causal discovery with continuous additive noise models. Journal of Machine Learning Research, 15(1), 2009-2053.</w:t>
      </w:r>
    </w:p>
    <w:p>
      <w:pPr>
        <w:spacing w:before="0" w:after="80" w:line="240" w:lineRule="auto"/>
        <w:jc w:val="both"/>
      </w:pPr>
      <w:r>
        <w:rPr>
          <w:rFonts w:ascii="Times New Roman" w:hAnsi="Times New Roman"/>
          <w:b w:val="0"/>
          <w:i w:val="0"/>
          <w:color w:val="000000"/>
          <w:sz w:val="18"/>
          <w:rFonts w:ascii="Times New Roman" w:hAnsi="Times New Roman"/>
        </w:rPr>
        <w:t>[9] Sachs, K., Perez, O., Pe'er, D., Lauffenburger, D. A., &amp; Nolan, G. P. (2005). Causal protein-signaling networks derived from multiparameter single-cell data. Science, 308(5721), 523-529.</w:t>
      </w:r>
    </w:p>
    <w:p>
      <w:pPr>
        <w:spacing w:before="0" w:after="80" w:line="240" w:lineRule="auto"/>
        <w:jc w:val="both"/>
      </w:pPr>
      <w:r>
        <w:rPr>
          <w:rFonts w:ascii="Times New Roman" w:hAnsi="Times New Roman"/>
          <w:b w:val="0"/>
          <w:i w:val="0"/>
          <w:color w:val="000000"/>
          <w:sz w:val="18"/>
          <w:rFonts w:ascii="Times New Roman" w:hAnsi="Times New Roman"/>
        </w:rPr>
        <w:t>[10] Shimizu, S., Hoyer, P. O., Hyvärinen, A., &amp; Kerminen, A. (2006). A linear non-Gaussian acyclic model for causal discovery. Journal of Machine Learning Research, 7(10), 2003-2030.</w:t>
      </w:r>
    </w:p>
    <w:p>
      <w:pPr>
        <w:spacing w:before="0" w:after="80" w:line="240" w:lineRule="auto"/>
        <w:jc w:val="both"/>
      </w:pPr>
      <w:r>
        <w:rPr>
          <w:rFonts w:ascii="Times New Roman" w:hAnsi="Times New Roman"/>
          <w:b w:val="0"/>
          <w:i w:val="0"/>
          <w:color w:val="000000"/>
          <w:sz w:val="18"/>
          <w:rFonts w:ascii="Times New Roman" w:hAnsi="Times New Roman"/>
        </w:rPr>
        <w:t>[11] Spirtes, P., Glymour, C. N., &amp; Scheines, R. (2000). Causation, prediction, and search (2nd ed.). MIT Press.</w:t>
      </w:r>
    </w:p>
    <w:p>
      <w:pPr>
        <w:spacing w:before="0" w:after="80" w:line="240" w:lineRule="auto"/>
        <w:jc w:val="both"/>
      </w:pPr>
      <w:r>
        <w:rPr>
          <w:rFonts w:ascii="Times New Roman" w:hAnsi="Times New Roman"/>
          <w:b w:val="0"/>
          <w:i w:val="0"/>
          <w:color w:val="000000"/>
          <w:sz w:val="18"/>
          <w:rFonts w:ascii="Times New Roman" w:hAnsi="Times New Roman"/>
        </w:rPr>
        <w:t>[12] Van den Bulcke, T., Van Leemput, K., Naudts, B., van Remortel, P., Ma, H., Verschoren, A., De Moor, B., &amp; Marchal, K. (2006). SynTReN: a generator of synthetic gene expression data for design and analysis of structure learning algorithms. BMC Bioinformatics, 7(1), 43.</w:t>
      </w:r>
    </w:p>
    <w:p>
      <w:pPr>
        <w:spacing w:before="0" w:after="80" w:line="240" w:lineRule="auto"/>
        <w:jc w:val="both"/>
      </w:pPr>
      <w:r>
        <w:rPr>
          <w:rFonts w:ascii="Times New Roman" w:hAnsi="Times New Roman"/>
          <w:b w:val="0"/>
          <w:i w:val="0"/>
          <w:color w:val="000000"/>
          <w:sz w:val="18"/>
          <w:rFonts w:ascii="Times New Roman" w:hAnsi="Times New Roman"/>
        </w:rPr>
        <w:t>[13] Zheng, X., Aragam, B., Ravikumar, P. K., &amp; Xing, E. P. (2018). DAGs with NO TEARS: Continuous optimization for structure learning. Advances in Neural Information Processing Systems, 31.</w:t>
      </w:r>
    </w:p>
    <w:p>
      <w:pPr>
        <w:spacing w:before="0" w:after="80" w:line="240" w:lineRule="auto"/>
        <w:jc w:val="both"/>
      </w:pPr>
      <w:r>
        <w:rPr>
          <w:rFonts w:ascii="Times New Roman" w:hAnsi="Times New Roman"/>
          <w:b w:val="0"/>
          <w:i w:val="0"/>
          <w:color w:val="000000"/>
          <w:sz w:val="18"/>
          <w:rFonts w:ascii="Times New Roman" w:hAnsi="Times New Roman"/>
        </w:rPr>
        <w:t>[14] Hu, S., Chen, Z., Partovi Nia, V., Chan, L., &amp; Geng, Y. (2018). Causal Inference and Mechanism Clustering of A Mixture of Additive Noise Models. Poster presented at NeurIPS 2018.</w:t>
      </w:r>
    </w:p>
    <w:p>
      <w:pPr>
        <w:spacing w:before="0" w:after="80" w:line="240" w:lineRule="auto"/>
        <w:jc w:val="both"/>
      </w:pPr>
      <w:r>
        <w:rPr>
          <w:rFonts w:ascii="Times New Roman" w:hAnsi="Times New Roman"/>
          <w:b w:val="0"/>
          <w:i w:val="0"/>
          <w:color w:val="000000"/>
          <w:sz w:val="18"/>
          <w:rFonts w:ascii="Times New Roman" w:hAnsi="Times New Roman"/>
        </w:rPr>
        <w:t>[15] Lachapelle, S., Brouillard, P., Deleu, T., &amp; Lacoste-Julien, S. (2020). Gradient-Based Neural DAG Learning. arXiv preprint arXiv:1906.02226.</w:t>
      </w:r>
    </w:p>
    <w:sectPr w:rsidR="00FC693F" w:rsidRPr="0006063C" w:rsidSect="00034616">
      <w:type w:val="continuous"/>
      <w:pgSz w:w="11909" w:h="16834"/>
      <w:pgMar w:top="851" w:right="567" w:bottom="851" w:left="1417" w:header="720" w:footer="720" w:gutter="0"/>
      <w:cols w:space="48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