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left"/>
      </w:pPr>
      <w:r>
        <w:rPr>
          <w:rFonts w:ascii="Times New Roman" w:hAnsi="Times New Roman"/>
          <w:b/>
          <w:i w:val="0"/>
          <w:sz w:val="18"/>
        </w:rPr>
        <w:t>JOURNAL OF SCIENCE OF LAC HONG UNIVERSITY</w:t>
      </w:r>
    </w:p>
    <w:p>
      <w:pPr>
        <w:spacing w:after="0" w:before="0" w:line="240" w:lineRule="auto"/>
        <w:jc w:val="left"/>
      </w:pPr>
      <w:r>
        <w:rPr>
          <w:rFonts w:ascii="Times New Roman" w:hAnsi="Times New Roman"/>
          <w:b w:val="0"/>
          <w:i/>
          <w:sz w:val="18"/>
        </w:rPr>
        <w:t>Tạp chí Khoa học Lạc Hồng, 2026, Số đặc biệt, 001-006</w:t>
      </w:r>
    </w:p>
    <w:p>
      <w:pPr>
        <w:spacing w:after="120" w:before="360" w:line="240" w:lineRule="auto"/>
        <w:jc w:val="center"/>
      </w:pPr>
      <w:r>
        <w:rPr>
          <w:rFonts w:ascii="Times New Roman" w:hAnsi="Times New Roman"/>
          <w:b/>
          <w:i w:val="0"/>
          <w:sz w:val="28"/>
        </w:rPr>
        <w:t>RESEARCH AND DEVELOPMENT OF A DEEP LEARNING MODEL ARCHITECTURE FOR DISCOVERING NON-LINEAR CAUSAL STRUCTURES FROM TABULAR DATA</w:t>
      </w:r>
    </w:p>
    <w:p>
      <w:pPr>
        <w:spacing w:after="60" w:before="0" w:line="240" w:lineRule="auto"/>
        <w:jc w:val="right"/>
      </w:pPr>
      <w:r>
        <w:rPr>
          <w:rFonts w:ascii="Times New Roman" w:hAnsi="Times New Roman"/>
          <w:b/>
          <w:i w:val="0"/>
          <w:sz w:val="22"/>
        </w:rPr>
        <w:t>Tran Manh Thai1*, Diep Thi My Hang1, Tran Thanh Phuong1</w:t>
      </w:r>
    </w:p>
    <w:p>
      <w:pPr>
        <w:spacing w:after="240" w:before="0" w:line="240" w:lineRule="auto"/>
        <w:jc w:val="right"/>
      </w:pPr>
      <w:r>
        <w:rPr>
          <w:rFonts w:ascii="Times New Roman" w:hAnsi="Times New Roman"/>
          <w:b w:val="0"/>
          <w:i/>
          <w:sz w:val="19"/>
        </w:rPr>
        <w:t>1Department of Information Technology, Lac Hong University, Dong Nai, Vietnam</w:t>
      </w:r>
    </w:p>
    <w:p>
      <w:pPr>
        <w:spacing w:after="360" w:before="0" w:line="240" w:lineRule="auto"/>
        <w:jc w:val="right"/>
      </w:pPr>
      <w:r>
        <w:rPr>
          <w:rFonts w:ascii="Times New Roman" w:hAnsi="Times New Roman"/>
          <w:b w:val="0"/>
          <w:i/>
          <w:sz w:val="18"/>
        </w:rPr>
        <w:t>*Corresponding Author Email: manhtran.lhu@gmail.com</w:t>
      </w:r>
    </w:p>
    <w:tbl>
      <w:tblPr>
        <w:tblW w:type="auto" w:w="0"/>
        <w:tblLayout w:type="fixed"/>
        <w:tblLook w:firstColumn="1" w:firstRow="1" w:lastColumn="0" w:lastRow="0" w:noHBand="0" w:noVBand="1" w:val="04A0"/>
      </w:tblPr>
      <w:tblGrid>
        <w:gridCol w:w="2592"/>
        <w:gridCol w:w="7344"/>
      </w:tblGrid>
      <w:tr>
        <w:tc>
          <w:tcPr>
            <w:tcW w:type="dxa" w:w="4968"/>
            <w:tcMar>
              <w:top w:w="60" w:type="dxa"/>
              <w:bottom w:w="60" w:type="dxa"/>
              <w:left w:w="60" w:type="dxa"/>
              <w:right w:w="60" w:type="dxa"/>
            </w:tcMar>
          </w:tcPr>
          <w:p>
            <w:pPr>
              <w:spacing w:after="40"/>
            </w:pPr>
            <w:r>
              <w:rPr>
                <w:b/>
              </w:rPr>
              <w:t>ARTICLE INFO</w:t>
              <w:br/>
            </w:r>
            <w:r>
              <w:rPr>
                <w:sz w:val="17"/>
              </w:rPr>
              <w:t>Received: May 15, 2026</w:t>
              <w:br/>
              <w:t>Revised: May 20, 2026</w:t>
              <w:br/>
              <w:t>Accepted: May 24, 2026</w:t>
              <w:br/>
              <w:t>Published: May 27, 2026</w:t>
              <w:br/>
              <w:br/>
            </w:r>
            <w:r>
              <w:rPr>
                <w:b/>
              </w:rPr>
              <w:t>KEYWORDS</w:t>
              <w:br/>
            </w:r>
            <w:r>
              <w:rPr>
                <w:sz w:val="17"/>
              </w:rPr>
              <w:t>Causal Discovery;</w:t>
              <w:br/>
              <w:t>Deep Learning;</w:t>
              <w:br/>
              <w:t>Normalizing Flows;</w:t>
              <w:br/>
              <w:t>Fast HSIC;</w:t>
              <w:br/>
              <w:t>Gated-ResMLP.</w:t>
            </w:r>
          </w:p>
        </w:tc>
        <w:tc>
          <w:tcPr>
            <w:tcW w:type="dxa" w:w="4968"/>
            <w:tcMar>
              <w:top w:w="60" w:type="dxa"/>
              <w:bottom w:w="60" w:type="dxa"/>
              <w:left w:w="60" w:type="dxa"/>
              <w:right w:w="60" w:type="dxa"/>
            </w:tcMar>
          </w:tcPr>
          <w:p>
            <w:pPr>
              <w:spacing w:line="240" w:lineRule="auto"/>
              <w:jc w:val="both"/>
            </w:pPr>
            <w:r>
              <w:rPr>
                <w:b/>
              </w:rPr>
              <w:t>ABSTRACT</w:t>
              <w:br/>
            </w:r>
            <w:r>
              <w:rPr>
                <w:sz w:val="18"/>
              </w:rPr>
              <w:t>Discovering causal structures from observational data is a fundamental challenge in machine learning and statistics. Traditional approaches often assume linear relationships or simple Gaussian noise models, which restrict their efficacy on real-world datasets characterized by non-linear interactions and complex noise distributions. In this study, we propose CausalFlowNet, a novel deep learning framework that integrates Gated Residual Multi-Layer Perceptrons (Gated-ResMLP) with Neural Spline Flows (NSF) under the Augmented Lagrangian optimization framework. Specifically, the Gated-ResMLP learns the complex non-linear causal functions, while the NSF models arbitrary, non-Gaussian residual noise distributions using rational-quadratic splines. To ensure true causal directionality, we introduce the Parallel Fast Hilbert-Schmidt Independence Criterion (Fast HSIC) as a statistical independence regularizer. Experimental evaluations on the benchmark Sachs protein signaling dataset and synthetic SynTReN gene networks demonstrate that CausalFlowNet achieves superior performance, obtaining a Structural Hamming Distance (SHD) of 12.0 and structural intervention distance (SID) of 37.0, outperforming existing baselines like NOTEARS, DAG-GNN, and GraN-DAG. The model provides a robust and scalable solution for discovering non-linear causal networks from tabular observational data.</w:t>
            </w:r>
          </w:p>
        </w:tc>
      </w:tr>
    </w:tbl>
    <w:p>
      <w:pPr>
        <w:spacing w:before="240" w:after="240"/>
      </w:pPr>
      <w:r>
        <w:rPr>
          <w:color w:val="B4B4B4"/>
        </w:rPr>
        <w:t>_________________________________________________________________________________</w:t>
      </w:r>
    </w:p>
    <w:p>
      <w:pPr>
        <w:spacing w:after="120" w:before="120" w:line="240" w:lineRule="auto"/>
        <w:jc w:val="center"/>
      </w:pPr>
      <w:r>
        <w:rPr>
          <w:rFonts w:ascii="Times New Roman" w:hAnsi="Times New Roman"/>
          <w:b/>
          <w:i w:val="0"/>
          <w:sz w:val="26"/>
        </w:rPr>
        <w:t>NGHIÊN CỨU VÀ XÂY DỰNG KIẾN TRÚC MÔ HÌNH HỌC SÂU ĐỂ KHÁM PHÁ CẤU TRÚC NHÂN QUẢ PHI TUYẾN TÍNH TỪ DỮ LIỆU QUAN SÁT</w:t>
      </w:r>
    </w:p>
    <w:p>
      <w:pPr>
        <w:spacing w:after="60" w:before="0" w:line="240" w:lineRule="auto"/>
        <w:jc w:val="right"/>
      </w:pPr>
      <w:r>
        <w:rPr>
          <w:rFonts w:ascii="Times New Roman" w:hAnsi="Times New Roman"/>
          <w:b/>
          <w:i w:val="0"/>
          <w:sz w:val="22"/>
        </w:rPr>
        <w:t>Trần Mạnh Thái1*, Diệp Thị Mỹ Hằng1, Trần Thanh Phương1</w:t>
      </w:r>
    </w:p>
    <w:p>
      <w:pPr>
        <w:spacing w:after="240" w:before="0" w:line="240" w:lineRule="auto"/>
        <w:jc w:val="right"/>
      </w:pPr>
      <w:r>
        <w:rPr>
          <w:rFonts w:ascii="Times New Roman" w:hAnsi="Times New Roman"/>
          <w:b w:val="0"/>
          <w:i/>
          <w:sz w:val="19"/>
        </w:rPr>
        <w:t>1Khoa Công nghệ Thông tin, Trường Đại học Lạc Hồng, Đồng Nai, Việt Nam</w:t>
      </w:r>
    </w:p>
    <w:tbl>
      <w:tblPr>
        <w:tblW w:type="auto" w:w="0"/>
        <w:tblLayout w:type="fixed"/>
        <w:tblLook w:firstColumn="1" w:firstRow="1" w:lastColumn="0" w:lastRow="0" w:noHBand="0" w:noVBand="1" w:val="04A0"/>
      </w:tblPr>
      <w:tblGrid>
        <w:gridCol w:w="2592"/>
        <w:gridCol w:w="7344"/>
      </w:tblGrid>
      <w:tr>
        <w:tc>
          <w:tcPr>
            <w:tcW w:type="dxa" w:w="4968"/>
            <w:tcMar>
              <w:top w:w="60" w:type="dxa"/>
              <w:bottom w:w="60" w:type="dxa"/>
              <w:left w:w="60" w:type="dxa"/>
              <w:right w:w="60" w:type="dxa"/>
            </w:tcMar>
          </w:tcPr>
          <w:p>
            <w:pPr>
              <w:spacing w:after="40"/>
            </w:pPr>
            <w:r>
              <w:rPr>
                <w:b/>
              </w:rPr>
              <w:t>THÔNG TIN</w:t>
              <w:br/>
            </w:r>
            <w:r>
              <w:rPr>
                <w:sz w:val="17"/>
              </w:rPr>
              <w:t>Ngày nhận: 15/05/2026</w:t>
              <w:br/>
              <w:t>Ngày sửa: 20/05/2026</w:t>
              <w:br/>
              <w:t>Ngày duyệt: 24/05/2026</w:t>
              <w:br/>
              <w:t>Ngày đăng: 27/05/2026</w:t>
              <w:br/>
              <w:br/>
            </w:r>
            <w:r>
              <w:rPr>
                <w:b/>
              </w:rPr>
              <w:t>TỪ KHÓA</w:t>
              <w:br/>
            </w:r>
            <w:r>
              <w:rPr>
                <w:sz w:val="17"/>
              </w:rPr>
              <w:t>Khám phá nhân quả;</w:t>
              <w:br/>
              <w:t>Học sâu;</w:t>
              <w:br/>
              <w:t>Normalizing Flows;</w:t>
              <w:br/>
              <w:t>Toán tử HSIC;</w:t>
              <w:br/>
              <w:t>Gated-ResMLP.</w:t>
            </w:r>
          </w:p>
        </w:tc>
        <w:tc>
          <w:tcPr>
            <w:tcW w:type="dxa" w:w="4968"/>
            <w:tcMar>
              <w:top w:w="60" w:type="dxa"/>
              <w:bottom w:w="60" w:type="dxa"/>
              <w:left w:w="60" w:type="dxa"/>
              <w:right w:w="60" w:type="dxa"/>
            </w:tcMar>
          </w:tcPr>
          <w:p>
            <w:pPr>
              <w:spacing w:line="240" w:lineRule="auto"/>
              <w:jc w:val="both"/>
            </w:pPr>
            <w:r>
              <w:rPr>
                <w:b/>
              </w:rPr>
              <w:t>TÓM TẮT</w:t>
              <w:br/>
            </w:r>
            <w:r>
              <w:rPr>
                <w:sz w:val="18"/>
              </w:rPr>
              <w:t>Khám phá cấu trúc nhân quả từ dữ liệu quan sát là một thách thức nền tảng trong học máy và thống kê. Các hướng tiếp cận truyền thống thường giả định mối quan hệ tuyến tính hoặc các mô hình nhiễu Gaussian đơn giản, điều này làm hạn chế hiệu quả của chúng trên các tập dữ liệu thực tế đặc trưng bởi các tương tác phi tuyến và phân phối nhiễu phức tạp. Trong nghiên cứu này, chúng tôi đề xuất CausalFlowNet, một khung học sâu mới tích hợp mạng Perceptron nhiều lớp tăng cường Gated Residual (Gated-ResMLP) với dòng chuẩn hóa Neural Spline Flows (NSF) dưới khung tối ưu hóa Lagrangian tăng cường. Cụ thể, Gated-ResMLP học các hàm nhân quả phi tuyến phức tạp, trong khi NSF mô hình hóa các phân phối nhiễu phần dư không phải Gaussian tùy ý bằng cách sử dụng các spline bậc hai hữu tỷ. Để đảm bảo tính định hướng nhân quả thực sự, chúng tôi giới thiệu tiêu chuẩn độc lập Hilbert-Schmidt nhanh song song (Fast HSIC) như một bộ điều chuẩn độc lập thống kê. Các đánh giá thực nghiệm trên tập dữ liệu truyền tín hiệu protein Sachs thực tế và mạng lưới gen giả lập SynTReN chứng minh rằng CausalFlowNet đạt được hiệu suất vượt trội, đạt được Khoảng cách Hamming Cấu trúc (SHD) là 12.0 và Khoảng cách Can thiệp Cấu trúc (SID) là 37.0, vượt qua các mô hình cơ sở hiện có như NOTEARS, DAG-GNN và GraN-DAG. Mô hình cung cấp một giải pháp mạnh mẽ và có thể mở rộng để khám phá mạng lưới nhân quả phi tuyến từ dữ liệu quan sát dạng bảng.</w:t>
            </w:r>
          </w:p>
        </w:tc>
      </w:tr>
    </w:tbl>
    <w:p>
      <w:pPr>
        <w:sectPr>
          <w:pgSz w:w="11909" w:h="16834"/>
          <w:pgMar w:top="850" w:right="562" w:bottom="850" w:left="1411" w:header="720" w:footer="720" w:gutter="0"/>
          <w:cols w:space="720"/>
          <w:docGrid w:linePitch="360"/>
        </w:sectPr>
      </w:pPr>
    </w:p>
    <w:p>
      <w:pPr>
        <w:spacing w:after="80" w:before="240" w:line="240" w:lineRule="auto"/>
        <w:jc w:val="left"/>
      </w:pPr>
      <w:r>
        <w:rPr>
          <w:rFonts w:ascii="Times New Roman" w:hAnsi="Times New Roman"/>
          <w:b/>
          <w:i w:val="0"/>
          <w:sz w:val="20"/>
        </w:rPr>
        <w:t>1. GIỚI THIỆU (INTRODUCTION)</w:t>
      </w:r>
    </w:p>
    <w:p>
      <w:pPr>
        <w:spacing w:after="120" w:before="0" w:line="240" w:lineRule="auto"/>
        <w:ind w:firstLine="216"/>
        <w:jc w:val="both"/>
      </w:pPr>
      <w:r>
        <w:rPr>
          <w:rFonts w:ascii="Times New Roman" w:hAnsi="Times New Roman"/>
          <w:b w:val="0"/>
          <w:i w:val="0"/>
          <w:sz w:val="20"/>
        </w:rPr>
        <w:t>Khám phá và mô hình hóa mối quan hệ nhân quả (Causal Discovery) từ dữ liệu quan sát dạng bảng là một trong những mục tiêu cốt lõi của Trí tuệ nhân tạo hiện đại. Khác với mô hình học máy truyền thống chỉ tập trung khai thác mối quan hệ tương quan thống kê thuần túy (Correlation), suy luận nhân quả nhằm bóc tách các cơ chế tác động trực tiếp thực tế giữa các biến số, giúp giải thích chính xác câu hỏi can thiệp thực nghiệm thông qua toán tử do-calculus của Judea Pearl [6].</w:t>
      </w:r>
    </w:p>
    <w:p>
      <w:pPr>
        <w:spacing w:after="120" w:before="0" w:line="240" w:lineRule="auto"/>
        <w:ind w:firstLine="216"/>
        <w:jc w:val="both"/>
      </w:pPr>
      <w:r>
        <w:rPr>
          <w:rFonts w:ascii="Times New Roman" w:hAnsi="Times New Roman"/>
          <w:b w:val="0"/>
          <w:i w:val="0"/>
          <w:sz w:val="20"/>
        </w:rPr>
        <w:t>Các phương pháp khám phá cấu trúc nhân quả cổ điển, bao gồm hướng tiếp cận dựa trên ràng buộc thống kê như PC [11] hay hướng tiếp cận dựa trên điểm số như GES [2], thường đòi hỏi giả định rất ngặt nghèo về tính tuyến tính và phân phối nhiễu đồng nhất. Bước ngoặt lớn đến từ NOTEARS [13], khi chuyển đổi không gian tìm kiếm đồ thị rời rạc thành một bài toán tối ưu hóa liên tục trơn tru thông qua ràng buộc phi chu trình ma trận h(W) = 0. Tuy nhiên, các mô hình thế hệ đầu này vẫn bị giới hạn trong các phương trình tuyến tính và mô hình nhiễu Gaussian đơn giản.</w:t>
      </w:r>
    </w:p>
    <w:p>
      <w:pPr>
        <w:spacing w:after="120" w:before="0" w:line="240" w:lineRule="auto"/>
        <w:ind w:firstLine="216"/>
        <w:jc w:val="both"/>
      </w:pPr>
      <w:r>
        <w:rPr>
          <w:rFonts w:ascii="Times New Roman" w:hAnsi="Times New Roman"/>
          <w:b w:val="0"/>
          <w:i w:val="0"/>
          <w:sz w:val="20"/>
        </w:rPr>
        <w:t>Trong bài viết này, chúng tôi đề xuất CausalFlowNet - một kiến trúc học sâu phi tuyến tính tích hợp để khám phá cấu trúc nhân quả từ dữ liệu quan sát dạng bảng. CausalFlowNet sử dụng mạng Gated Residual MLP (Gated-ResMLP) dùng chung trọng số để học các hàm cơ chế phi tuyến phức tạp, kết hợp với dòng chuẩn hóa Neural Spline Flows (NSF) với Gaussian Mixture Prior để mô hình hóa chính xác phân phối nhiễu tùy ý thực tế. Để đảm bảo hướng mũi tên nhân quả được định hướng chính xác và loại bỏ tương quan ảo, chúng tôi tích hợp bộ kiểm định độc lập phi tuyến song song hóa Fast HSIC làm bộ điều chuẩn trong hàm mục tiêu Augmented Lagrangian.</w:t>
      </w:r>
    </w:p>
    <w:p>
      <w:pPr>
        <w:spacing w:after="80" w:before="240" w:line="240" w:lineRule="auto"/>
        <w:jc w:val="left"/>
      </w:pPr>
      <w:r>
        <w:rPr>
          <w:rFonts w:ascii="Times New Roman" w:hAnsi="Times New Roman"/>
          <w:b/>
          <w:i w:val="0"/>
          <w:sz w:val="20"/>
        </w:rPr>
        <w:t>2. PHƯƠNG PHÁP ĐỀ XUẤT (PROPOSED METHODOLOGY)</w:t>
      </w:r>
    </w:p>
    <w:p>
      <w:pPr>
        <w:spacing w:after="80" w:before="0" w:line="240" w:lineRule="auto"/>
        <w:ind w:firstLine="216"/>
        <w:jc w:val="both"/>
      </w:pPr>
      <w:r>
        <w:rPr>
          <w:rFonts w:ascii="Times New Roman" w:hAnsi="Times New Roman"/>
          <w:b w:val="0"/>
          <w:i w:val="0"/>
          <w:sz w:val="20"/>
        </w:rPr>
        <w:t>Khung làm việc SCM (Structural Causal Model) biểu diễn hệ thống dữ liệu thông qua Mô hình Nhiễu Cộng (Additive Noise Model - ANM) phi tuyến tính:</w:t>
      </w:r>
    </w:p>
    <w:p>
      <w:pPr>
        <w:spacing w:after="120" w:before="0" w:line="240" w:lineRule="auto"/>
        <w:jc w:val="center"/>
      </w:pPr>
      <w:r>
        <w:rPr>
          <w:rFonts w:ascii="Times New Roman" w:hAnsi="Times New Roman"/>
          <w:b/>
          <w:i w:val="0"/>
          <w:sz w:val="20"/>
        </w:rPr>
        <w:t>X_i = f_i(PA_i) + e_i,  với e_i indep PA_i</w:t>
      </w:r>
    </w:p>
    <w:p>
      <w:pPr>
        <w:spacing w:after="60" w:before="120" w:line="240" w:lineRule="auto"/>
        <w:jc w:val="left"/>
      </w:pPr>
      <w:r>
        <w:rPr>
          <w:rFonts w:ascii="Times New Roman" w:hAnsi="Times New Roman"/>
          <w:b/>
          <w:i w:val="0"/>
          <w:sz w:val="20"/>
        </w:rPr>
        <w:t>2.1 Gated Residual MLP học cơ chế nhân quả</w:t>
      </w:r>
    </w:p>
    <w:p>
      <w:pPr>
        <w:spacing w:after="120" w:before="0" w:line="240" w:lineRule="auto"/>
        <w:ind w:firstLine="216"/>
        <w:jc w:val="both"/>
      </w:pPr>
      <w:r>
        <w:rPr>
          <w:rFonts w:ascii="Times New Roman" w:hAnsi="Times New Roman"/>
          <w:b w:val="0"/>
          <w:i w:val="0"/>
          <w:sz w:val="20"/>
        </w:rPr>
        <w:t>Chúng tôi thiết kế khối Gated Residual Block kết hợp cơ chế cổng (gating) và kết nối tắt (residual connection) nhằm ổn định dòng gradient lan truyền ngược khi mạng có độ sâu lớn. Trọng số của các lớp tuyến tính được khởi tạo bằng phương pháp khởi tạo trực giao (Orthogonal Initialization) với hệ số gain = 1.4 để ngăn ngừa bùng nổ gradient. Đầu vào được áp dụng mặt nạ mềm (soft mask) dựa trên ma trận kề W khả vi để kiểm soát dòng thông tin nhân quả.</w:t>
      </w:r>
    </w:p>
    <w:p>
      <w:pPr>
        <w:spacing w:after="60" w:before="120" w:line="240" w:lineRule="auto"/>
        <w:jc w:val="left"/>
      </w:pPr>
      <w:r>
        <w:rPr>
          <w:rFonts w:ascii="Times New Roman" w:hAnsi="Times New Roman"/>
          <w:b/>
          <w:i w:val="0"/>
          <w:sz w:val="20"/>
        </w:rPr>
        <w:t>2.2 Neural Spline Flow mô hình hóa nhiễu tùy ý</w:t>
      </w:r>
    </w:p>
    <w:p>
      <w:pPr>
        <w:spacing w:after="120" w:before="0" w:line="240" w:lineRule="auto"/>
        <w:ind w:firstLine="216"/>
        <w:jc w:val="both"/>
      </w:pPr>
      <w:r>
        <w:rPr>
          <w:rFonts w:ascii="Times New Roman" w:hAnsi="Times New Roman"/>
          <w:b w:val="0"/>
          <w:i w:val="0"/>
          <w:sz w:val="20"/>
        </w:rPr>
        <w:t>Thay vì giả định nhiễu tuân theo phân phối chuẩn Gaussian đơn giản, CausalFlowNet sử dụng lớp ghép Rational-Quadratic Splines (RQS) để chia miền dữ liệu thành các bins (mặc định num_bins = 8) và xấp xỉ phân phối phần dư bằng hàm hữu tỷ bậc hai. Hàm log-likelihood chính xác được tính thông qua định lý đổi biến, tích lũy log-determinant của ma trận Jacobian tại mỗi lớp spline. Bên cạnh đó, mô hình tích hợp Gaussian Mixture Model (GMM) làm phân phối ưu tiên (prior) để nắm bắt phân phối đa chế độ (multi-modal).</w:t>
      </w:r>
    </w:p>
    <w:p>
      <w:pPr>
        <w:spacing w:after="60" w:before="120" w:line="240" w:lineRule="auto"/>
        <w:jc w:val="left"/>
      </w:pPr>
      <w:r>
        <w:rPr>
          <w:rFonts w:ascii="Times New Roman" w:hAnsi="Times New Roman"/>
          <w:b/>
          <w:i w:val="0"/>
          <w:sz w:val="20"/>
        </w:rPr>
        <w:t>2.3 Ràng buộc độc lập bằng Parallel Fast HSIC</w:t>
      </w:r>
    </w:p>
    <w:p>
      <w:pPr>
        <w:spacing w:after="120" w:before="0" w:line="240" w:lineRule="auto"/>
        <w:ind w:firstLine="216"/>
        <w:jc w:val="both"/>
      </w:pPr>
      <w:r>
        <w:rPr>
          <w:rFonts w:ascii="Times New Roman" w:hAnsi="Times New Roman"/>
          <w:b w:val="0"/>
          <w:i w:val="0"/>
          <w:sz w:val="20"/>
        </w:rPr>
        <w:t>Để đảm bảo tính độc lập thống kê giữa phần dư e_i và tập nguyên nhân PA_i, chúng tôi sử dụng tiêu chuẩn đo lường phụ thuộc phi tuyến HSIC [4]. Để tối ưu tốc độ tính toán từ O(N^2) xuống mức tuyến tính, chúng tôi áp dụng phương pháp xấp xỉ nhanh bằng Random Fourier Features (RFF) với m = 32 đặc trưng ngẫu nhiên. Toàn bộ phép tính HSIC cho tất cả các cặp biến được song song hóa hoàn toàn trong một phép toán tensor duy nhất.</w:t>
      </w:r>
    </w:p>
    <w:p>
      <w:pPr>
        <w:spacing w:after="60" w:before="120" w:line="240" w:lineRule="auto"/>
        <w:jc w:val="left"/>
      </w:pPr>
      <w:r>
        <w:rPr>
          <w:rFonts w:ascii="Times New Roman" w:hAnsi="Times New Roman"/>
          <w:b/>
          <w:i w:val="0"/>
          <w:sz w:val="20"/>
        </w:rPr>
        <w:t>2.4 Hàm mục tiêu tối ưu hóa liên tục</w:t>
      </w:r>
    </w:p>
    <w:p>
      <w:pPr>
        <w:spacing w:after="80" w:before="0" w:line="240" w:lineRule="auto"/>
        <w:ind w:firstLine="216"/>
        <w:jc w:val="both"/>
      </w:pPr>
      <w:r>
        <w:rPr>
          <w:rFonts w:ascii="Times New Roman" w:hAnsi="Times New Roman"/>
          <w:b w:val="0"/>
          <w:i w:val="0"/>
          <w:sz w:val="20"/>
        </w:rPr>
        <w:t>Bài toán tối ưu hóa có ràng buộc phi chu trình h(W) = 0 được chuyển đổi thành bài toán không ràng buộc thông qua thuật toán Lagrangian tăng cường kép (Augmented Lagrangian Method - ALM) [15]:</w:t>
      </w:r>
    </w:p>
    <w:p>
      <w:pPr>
        <w:spacing w:after="120" w:before="0" w:line="240" w:lineRule="auto"/>
        <w:jc w:val="center"/>
      </w:pPr>
      <w:r>
        <w:rPr>
          <w:rFonts w:ascii="Times New Roman" w:hAnsi="Times New Roman"/>
          <w:b/>
          <w:i w:val="0"/>
          <w:sz w:val="19"/>
        </w:rPr>
        <w:t>L_aug = (NLL + lda_hsic * L_HSIC + lda_L1 * |W|_1) + alpha * h(W) + 0.5 * rho * h(W)^2</w:t>
      </w:r>
    </w:p>
    <w:p>
      <w:pPr>
        <w:spacing w:after="120" w:before="0" w:line="240" w:lineRule="auto"/>
        <w:ind w:firstLine="216"/>
        <w:jc w:val="both"/>
      </w:pPr>
      <w:r>
        <w:rPr>
          <w:rFonts w:ascii="Times New Roman" w:hAnsi="Times New Roman"/>
          <w:b w:val="0"/>
          <w:i w:val="0"/>
          <w:sz w:val="20"/>
        </w:rPr>
        <w:t>Nhân tử Lagrange (alpha) đóng vai trò bộ nhớ vi phạm tích lũy và tham số phạt (rho) đóng vai trò độ nghiêm khắc được cập nhật tuần tự sau mỗi vòng lặp ngoài (outer loop) để ép đồ thị hội tụ về cấu trúc DAG hợp lệ.</w:t>
      </w:r>
    </w:p>
    <w:p>
      <w:pPr>
        <w:spacing w:after="80" w:before="240" w:line="240" w:lineRule="auto"/>
        <w:jc w:val="left"/>
      </w:pPr>
      <w:r>
        <w:rPr>
          <w:rFonts w:ascii="Times New Roman" w:hAnsi="Times New Roman"/>
          <w:b/>
          <w:i w:val="0"/>
          <w:sz w:val="20"/>
        </w:rPr>
        <w:t>3. KẾT QUẢ THỰC NGHIỆM VÀ THẢO LUẬN (EXPERIMENTAL RESULTS &amp; DISCUSSION)</w:t>
      </w:r>
    </w:p>
    <w:p>
      <w:pPr>
        <w:spacing w:after="120" w:before="0" w:line="240" w:lineRule="auto"/>
        <w:ind w:firstLine="216"/>
        <w:jc w:val="both"/>
      </w:pPr>
      <w:r>
        <w:rPr>
          <w:rFonts w:ascii="Times New Roman" w:hAnsi="Times New Roman"/>
          <w:b w:val="0"/>
          <w:i w:val="0"/>
          <w:sz w:val="20"/>
        </w:rPr>
        <w:t>Chúng tôi tiến hành đánh giá hiệu năng của CausalFlowNet trên hai tập dữ liệu chuẩn: Dữ liệu thực tế truyền tín hiệu protein tế bào Sachs (11 biến, 7466 mẫu) [9] và Dữ liệu mạng gen mô phỏng SynTReN (20 biến, 1000 mẫu) [12].</w:t>
      </w:r>
    </w:p>
    <w:p>
      <w:pPr>
        <w:spacing w:after="60" w:before="120" w:line="240" w:lineRule="auto"/>
        <w:jc w:val="left"/>
      </w:pPr>
      <w:r>
        <w:rPr>
          <w:rFonts w:ascii="Times New Roman" w:hAnsi="Times New Roman"/>
          <w:b/>
          <w:i w:val="0"/>
          <w:sz w:val="20"/>
        </w:rPr>
        <w:t>3.1 Hiệu năng trên tập dữ liệu thực tế Sachs</w:t>
      </w:r>
    </w:p>
    <w:p>
      <w:pPr>
        <w:spacing w:after="120" w:before="0" w:line="240" w:lineRule="auto"/>
        <w:ind w:firstLine="216"/>
        <w:jc w:val="both"/>
      </w:pPr>
      <w:r>
        <w:rPr>
          <w:rFonts w:ascii="Times New Roman" w:hAnsi="Times New Roman"/>
          <w:b w:val="0"/>
          <w:i w:val="0"/>
          <w:sz w:val="20"/>
        </w:rPr>
        <w:t>Kết quả đánh giá định lượng được trình bày chi tiết trong Bảng 1. CausalFlowNet đạt được chỉ số SHD = 12.0 và SID = 37.0, phát hiện chính xác các cạnh sinh học cốt lõi như praf -&gt; pmek (hệ số ATE đạt +1.176), plcg -&gt; PIP2, và PKC -&gt; P38. Mô hình duy trì tỷ lệ báo nhầm (FPR) ở mức cực kỳ thấp (0.06), đảm bảo tính ổn định tối ưu.</w:t>
      </w:r>
    </w:p>
    <w:p>
      <w:pPr>
        <w:spacing w:after="80" w:before="160" w:line="240" w:lineRule="auto"/>
        <w:jc w:val="center"/>
      </w:pPr>
      <w:r>
        <w:rPr>
          <w:rFonts w:ascii="Times New Roman" w:hAnsi="Times New Roman"/>
          <w:b/>
          <w:i w:val="0"/>
          <w:sz w:val="18"/>
        </w:rPr>
        <w:t>Bảng 1. So sánh hiệu năng khám phá nhân quả trên tập Sachs và SynTReN-20.</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tcMar>
              <w:top w:w="50" w:type="dxa"/>
              <w:bottom w:w="50" w:type="dxa"/>
              <w:left w:w="50" w:type="dxa"/>
              <w:right w:w="50" w:type="dxa"/>
            </w:tcMar>
          </w:tcPr>
          <w:p>
            <w:pPr>
              <w:jc w:val="center"/>
            </w:pPr>
            <w:r>
              <w:rPr>
                <w:b/>
                <w:sz w:val="17"/>
              </w:rPr>
              <w:t>Phương pháp</w:t>
            </w:r>
          </w:p>
        </w:tc>
        <w:tc>
          <w:tcPr>
            <w:tcW w:type="dxa" w:w="1419"/>
            <w:tcMar>
              <w:top w:w="50" w:type="dxa"/>
              <w:bottom w:w="50" w:type="dxa"/>
              <w:left w:w="50" w:type="dxa"/>
              <w:right w:w="50" w:type="dxa"/>
            </w:tcMar>
          </w:tcPr>
          <w:p>
            <w:pPr>
              <w:jc w:val="center"/>
            </w:pPr>
            <w:r>
              <w:rPr>
                <w:b/>
                <w:sz w:val="17"/>
              </w:rPr>
              <w:t>SHD (Sachs)</w:t>
            </w:r>
          </w:p>
        </w:tc>
        <w:tc>
          <w:tcPr>
            <w:tcW w:type="dxa" w:w="1419"/>
            <w:tcMar>
              <w:top w:w="50" w:type="dxa"/>
              <w:bottom w:w="50" w:type="dxa"/>
              <w:left w:w="50" w:type="dxa"/>
              <w:right w:w="50" w:type="dxa"/>
            </w:tcMar>
          </w:tcPr>
          <w:p>
            <w:pPr>
              <w:jc w:val="center"/>
            </w:pPr>
            <w:r>
              <w:rPr>
                <w:b/>
                <w:sz w:val="17"/>
              </w:rPr>
              <w:t>SID (Sachs)</w:t>
            </w:r>
          </w:p>
        </w:tc>
        <w:tc>
          <w:tcPr>
            <w:tcW w:type="dxa" w:w="1419"/>
            <w:tcMar>
              <w:top w:w="50" w:type="dxa"/>
              <w:bottom w:w="50" w:type="dxa"/>
              <w:left w:w="50" w:type="dxa"/>
              <w:right w:w="50" w:type="dxa"/>
            </w:tcMar>
          </w:tcPr>
          <w:p>
            <w:pPr>
              <w:jc w:val="center"/>
            </w:pPr>
            <w:r>
              <w:rPr>
                <w:b/>
                <w:sz w:val="17"/>
              </w:rPr>
              <w:t>FPR (Sachs)</w:t>
            </w:r>
          </w:p>
        </w:tc>
        <w:tc>
          <w:tcPr>
            <w:tcW w:type="dxa" w:w="1419"/>
            <w:tcMar>
              <w:top w:w="50" w:type="dxa"/>
              <w:bottom w:w="50" w:type="dxa"/>
              <w:left w:w="50" w:type="dxa"/>
              <w:right w:w="50" w:type="dxa"/>
            </w:tcMar>
          </w:tcPr>
          <w:p>
            <w:pPr>
              <w:jc w:val="center"/>
            </w:pPr>
            <w:r>
              <w:rPr>
                <w:b/>
                <w:sz w:val="17"/>
              </w:rPr>
              <w:t>SHD (Syn)</w:t>
            </w:r>
          </w:p>
        </w:tc>
        <w:tc>
          <w:tcPr>
            <w:tcW w:type="dxa" w:w="1419"/>
            <w:tcMar>
              <w:top w:w="50" w:type="dxa"/>
              <w:bottom w:w="50" w:type="dxa"/>
              <w:left w:w="50" w:type="dxa"/>
              <w:right w:w="50" w:type="dxa"/>
            </w:tcMar>
          </w:tcPr>
          <w:p>
            <w:pPr>
              <w:jc w:val="center"/>
            </w:pPr>
            <w:r>
              <w:rPr>
                <w:b/>
                <w:sz w:val="17"/>
              </w:rPr>
              <w:t>SID (Syn)</w:t>
            </w:r>
          </w:p>
        </w:tc>
        <w:tc>
          <w:tcPr>
            <w:tcW w:type="dxa" w:w="1419"/>
            <w:tcMar>
              <w:top w:w="50" w:type="dxa"/>
              <w:bottom w:w="50" w:type="dxa"/>
              <w:left w:w="50" w:type="dxa"/>
              <w:right w:w="50" w:type="dxa"/>
            </w:tcMar>
          </w:tcPr>
          <w:p>
            <w:pPr>
              <w:jc w:val="center"/>
            </w:pPr>
            <w:r>
              <w:rPr>
                <w:b/>
                <w:sz w:val="17"/>
              </w:rPr>
              <w:t>FPR (Syn)</w:t>
            </w:r>
          </w:p>
        </w:tc>
      </w:tr>
      <w:tr>
        <w:tc>
          <w:tcPr>
            <w:tcW w:type="dxa" w:w="1419"/>
            <w:tcMar>
              <w:top w:w="40" w:type="dxa"/>
              <w:bottom w:w="40" w:type="dxa"/>
              <w:left w:w="40" w:type="dxa"/>
              <w:right w:w="40" w:type="dxa"/>
            </w:tcMar>
          </w:tcPr>
          <w:p>
            <w:r>
              <w:rPr>
                <w:b/>
                <w:sz w:val="17"/>
              </w:rPr>
              <w:t>NOTEARS [13]</w:t>
            </w:r>
          </w:p>
        </w:tc>
        <w:tc>
          <w:tcPr>
            <w:tcW w:type="dxa" w:w="1419"/>
            <w:tcMar>
              <w:top w:w="40" w:type="dxa"/>
              <w:bottom w:w="40" w:type="dxa"/>
              <w:left w:w="40" w:type="dxa"/>
              <w:right w:w="40" w:type="dxa"/>
            </w:tcMar>
          </w:tcPr>
          <w:p>
            <w:pPr>
              <w:jc w:val="center"/>
            </w:pPr>
            <w:r>
              <w:rPr>
                <w:sz w:val="17"/>
              </w:rPr>
              <w:t>21.0</w:t>
            </w:r>
          </w:p>
        </w:tc>
        <w:tc>
          <w:tcPr>
            <w:tcW w:type="dxa" w:w="1419"/>
            <w:tcMar>
              <w:top w:w="40" w:type="dxa"/>
              <w:bottom w:w="40" w:type="dxa"/>
              <w:left w:w="40" w:type="dxa"/>
              <w:right w:w="40" w:type="dxa"/>
            </w:tcMar>
          </w:tcPr>
          <w:p>
            <w:pPr>
              <w:jc w:val="center"/>
            </w:pPr>
            <w:r>
              <w:rPr>
                <w:sz w:val="17"/>
              </w:rPr>
              <w:t>44.0</w:t>
            </w:r>
          </w:p>
        </w:tc>
        <w:tc>
          <w:tcPr>
            <w:tcW w:type="dxa" w:w="1419"/>
            <w:tcMar>
              <w:top w:w="40" w:type="dxa"/>
              <w:bottom w:w="40" w:type="dxa"/>
              <w:left w:w="40" w:type="dxa"/>
              <w:right w:w="40" w:type="dxa"/>
            </w:tcMar>
          </w:tcPr>
          <w:p>
            <w:pPr>
              <w:jc w:val="center"/>
            </w:pPr>
            <w:r>
              <w:rPr>
                <w:sz w:val="17"/>
              </w:rPr>
              <w:t>0.18</w:t>
            </w:r>
          </w:p>
        </w:tc>
        <w:tc>
          <w:tcPr>
            <w:tcW w:type="dxa" w:w="1419"/>
            <w:tcMar>
              <w:top w:w="40" w:type="dxa"/>
              <w:bottom w:w="40" w:type="dxa"/>
              <w:left w:w="40" w:type="dxa"/>
              <w:right w:w="40" w:type="dxa"/>
            </w:tcMar>
          </w:tcPr>
          <w:p>
            <w:pPr>
              <w:jc w:val="center"/>
            </w:pPr>
            <w:r>
              <w:rPr>
                <w:sz w:val="17"/>
              </w:rPr>
              <w:t>151.8</w:t>
            </w:r>
          </w:p>
        </w:tc>
        <w:tc>
          <w:tcPr>
            <w:tcW w:type="dxa" w:w="1419"/>
            <w:tcMar>
              <w:top w:w="40" w:type="dxa"/>
              <w:bottom w:w="40" w:type="dxa"/>
              <w:left w:w="40" w:type="dxa"/>
              <w:right w:w="40" w:type="dxa"/>
            </w:tcMar>
          </w:tcPr>
          <w:p>
            <w:pPr>
              <w:jc w:val="center"/>
            </w:pPr>
            <w:r>
              <w:rPr>
                <w:sz w:val="17"/>
              </w:rPr>
              <w:t>110.7</w:t>
            </w:r>
          </w:p>
        </w:tc>
        <w:tc>
          <w:tcPr>
            <w:tcW w:type="dxa" w:w="1419"/>
            <w:tcMar>
              <w:top w:w="40" w:type="dxa"/>
              <w:bottom w:w="40" w:type="dxa"/>
              <w:left w:w="40" w:type="dxa"/>
              <w:right w:w="40" w:type="dxa"/>
            </w:tcMar>
          </w:tcPr>
          <w:p>
            <w:pPr>
              <w:jc w:val="center"/>
            </w:pPr>
            <w:r>
              <w:rPr>
                <w:sz w:val="17"/>
              </w:rPr>
              <w:t>0.22</w:t>
            </w:r>
          </w:p>
        </w:tc>
      </w:tr>
      <w:tr>
        <w:tc>
          <w:tcPr>
            <w:tcW w:type="dxa" w:w="1419"/>
            <w:tcMar>
              <w:top w:w="40" w:type="dxa"/>
              <w:bottom w:w="40" w:type="dxa"/>
              <w:left w:w="40" w:type="dxa"/>
              <w:right w:w="40" w:type="dxa"/>
            </w:tcMar>
          </w:tcPr>
          <w:p>
            <w:r>
              <w:rPr>
                <w:b/>
                <w:sz w:val="17"/>
              </w:rPr>
              <w:t>DAG-GNN</w:t>
            </w:r>
          </w:p>
        </w:tc>
        <w:tc>
          <w:tcPr>
            <w:tcW w:type="dxa" w:w="1419"/>
            <w:tcMar>
              <w:top w:w="40" w:type="dxa"/>
              <w:bottom w:w="40" w:type="dxa"/>
              <w:left w:w="40" w:type="dxa"/>
              <w:right w:w="40" w:type="dxa"/>
            </w:tcMar>
          </w:tcPr>
          <w:p>
            <w:pPr>
              <w:jc w:val="center"/>
            </w:pPr>
            <w:r>
              <w:rPr>
                <w:sz w:val="17"/>
              </w:rPr>
              <w:t>16.0</w:t>
            </w:r>
          </w:p>
        </w:tc>
        <w:tc>
          <w:tcPr>
            <w:tcW w:type="dxa" w:w="1419"/>
            <w:tcMar>
              <w:top w:w="40" w:type="dxa"/>
              <w:bottom w:w="40" w:type="dxa"/>
              <w:left w:w="40" w:type="dxa"/>
              <w:right w:w="40" w:type="dxa"/>
            </w:tcMar>
          </w:tcPr>
          <w:p>
            <w:pPr>
              <w:jc w:val="center"/>
            </w:pPr>
            <w:r>
              <w:rPr>
                <w:sz w:val="17"/>
              </w:rPr>
              <w:t>44.0</w:t>
            </w:r>
          </w:p>
        </w:tc>
        <w:tc>
          <w:tcPr>
            <w:tcW w:type="dxa" w:w="1419"/>
            <w:tcMar>
              <w:top w:w="40" w:type="dxa"/>
              <w:bottom w:w="40" w:type="dxa"/>
              <w:left w:w="40" w:type="dxa"/>
              <w:right w:w="40" w:type="dxa"/>
            </w:tcMar>
          </w:tcPr>
          <w:p>
            <w:pPr>
              <w:jc w:val="center"/>
            </w:pPr>
            <w:r>
              <w:rPr>
                <w:sz w:val="17"/>
              </w:rPr>
              <w:t>0.14</w:t>
            </w:r>
          </w:p>
        </w:tc>
        <w:tc>
          <w:tcPr>
            <w:tcW w:type="dxa" w:w="1419"/>
            <w:tcMar>
              <w:top w:w="40" w:type="dxa"/>
              <w:bottom w:w="40" w:type="dxa"/>
              <w:left w:w="40" w:type="dxa"/>
              <w:right w:w="40" w:type="dxa"/>
            </w:tcMar>
          </w:tcPr>
          <w:p>
            <w:pPr>
              <w:jc w:val="center"/>
            </w:pPr>
            <w:r>
              <w:rPr>
                <w:sz w:val="17"/>
              </w:rPr>
              <w:t>93.6</w:t>
            </w:r>
          </w:p>
        </w:tc>
        <w:tc>
          <w:tcPr>
            <w:tcW w:type="dxa" w:w="1419"/>
            <w:tcMar>
              <w:top w:w="40" w:type="dxa"/>
              <w:bottom w:w="40" w:type="dxa"/>
              <w:left w:w="40" w:type="dxa"/>
              <w:right w:w="40" w:type="dxa"/>
            </w:tcMar>
          </w:tcPr>
          <w:p>
            <w:pPr>
              <w:jc w:val="center"/>
            </w:pPr>
            <w:r>
              <w:rPr>
                <w:sz w:val="17"/>
              </w:rPr>
              <w:t>157.5</w:t>
            </w:r>
          </w:p>
        </w:tc>
        <w:tc>
          <w:tcPr>
            <w:tcW w:type="dxa" w:w="1419"/>
            <w:tcMar>
              <w:top w:w="40" w:type="dxa"/>
              <w:bottom w:w="40" w:type="dxa"/>
              <w:left w:w="40" w:type="dxa"/>
              <w:right w:w="40" w:type="dxa"/>
            </w:tcMar>
          </w:tcPr>
          <w:p>
            <w:pPr>
              <w:jc w:val="center"/>
            </w:pPr>
            <w:r>
              <w:rPr>
                <w:sz w:val="17"/>
              </w:rPr>
              <w:t>0.16</w:t>
            </w:r>
          </w:p>
        </w:tc>
      </w:tr>
      <w:tr>
        <w:tc>
          <w:tcPr>
            <w:tcW w:type="dxa" w:w="1419"/>
            <w:tcMar>
              <w:top w:w="40" w:type="dxa"/>
              <w:bottom w:w="40" w:type="dxa"/>
              <w:left w:w="40" w:type="dxa"/>
              <w:right w:w="40" w:type="dxa"/>
            </w:tcMar>
          </w:tcPr>
          <w:p>
            <w:r>
              <w:rPr>
                <w:b/>
                <w:sz w:val="17"/>
              </w:rPr>
              <w:t>GraN-DAG [15]</w:t>
            </w:r>
          </w:p>
        </w:tc>
        <w:tc>
          <w:tcPr>
            <w:tcW w:type="dxa" w:w="1419"/>
            <w:tcMar>
              <w:top w:w="40" w:type="dxa"/>
              <w:bottom w:w="40" w:type="dxa"/>
              <w:left w:w="40" w:type="dxa"/>
              <w:right w:w="40" w:type="dxa"/>
            </w:tcMar>
          </w:tcPr>
          <w:p>
            <w:pPr>
              <w:jc w:val="center"/>
            </w:pPr>
            <w:r>
              <w:rPr>
                <w:sz w:val="17"/>
              </w:rPr>
              <w:t>13.0</w:t>
            </w:r>
          </w:p>
        </w:tc>
        <w:tc>
          <w:tcPr>
            <w:tcW w:type="dxa" w:w="1419"/>
            <w:tcMar>
              <w:top w:w="40" w:type="dxa"/>
              <w:bottom w:w="40" w:type="dxa"/>
              <w:left w:w="40" w:type="dxa"/>
              <w:right w:w="40" w:type="dxa"/>
            </w:tcMar>
          </w:tcPr>
          <w:p>
            <w:pPr>
              <w:jc w:val="center"/>
            </w:pPr>
            <w:r>
              <w:rPr>
                <w:sz w:val="17"/>
              </w:rPr>
              <w:t>47.0</w:t>
            </w:r>
          </w:p>
        </w:tc>
        <w:tc>
          <w:tcPr>
            <w:tcW w:type="dxa" w:w="1419"/>
            <w:tcMar>
              <w:top w:w="40" w:type="dxa"/>
              <w:bottom w:w="40" w:type="dxa"/>
              <w:left w:w="40" w:type="dxa"/>
              <w:right w:w="40" w:type="dxa"/>
            </w:tcMar>
          </w:tcPr>
          <w:p>
            <w:pPr>
              <w:jc w:val="center"/>
            </w:pPr>
            <w:r>
              <w:rPr>
                <w:sz w:val="17"/>
              </w:rPr>
              <w:t>0.08</w:t>
            </w:r>
          </w:p>
        </w:tc>
        <w:tc>
          <w:tcPr>
            <w:tcW w:type="dxa" w:w="1419"/>
            <w:tcMar>
              <w:top w:w="40" w:type="dxa"/>
              <w:bottom w:w="40" w:type="dxa"/>
              <w:left w:w="40" w:type="dxa"/>
              <w:right w:w="40" w:type="dxa"/>
            </w:tcMar>
          </w:tcPr>
          <w:p>
            <w:pPr>
              <w:jc w:val="center"/>
            </w:pPr>
            <w:r>
              <w:rPr>
                <w:sz w:val="17"/>
              </w:rPr>
              <w:t>34.0</w:t>
            </w:r>
          </w:p>
        </w:tc>
        <w:tc>
          <w:tcPr>
            <w:tcW w:type="dxa" w:w="1419"/>
            <w:tcMar>
              <w:top w:w="40" w:type="dxa"/>
              <w:bottom w:w="40" w:type="dxa"/>
              <w:left w:w="40" w:type="dxa"/>
              <w:right w:w="40" w:type="dxa"/>
            </w:tcMar>
          </w:tcPr>
          <w:p>
            <w:pPr>
              <w:jc w:val="center"/>
            </w:pPr>
            <w:r>
              <w:rPr>
                <w:sz w:val="17"/>
              </w:rPr>
              <w:t>161.7</w:t>
            </w:r>
          </w:p>
        </w:tc>
        <w:tc>
          <w:tcPr>
            <w:tcW w:type="dxa" w:w="1419"/>
            <w:tcMar>
              <w:top w:w="40" w:type="dxa"/>
              <w:bottom w:w="40" w:type="dxa"/>
              <w:left w:w="40" w:type="dxa"/>
              <w:right w:w="40" w:type="dxa"/>
            </w:tcMar>
          </w:tcPr>
          <w:p>
            <w:pPr>
              <w:jc w:val="center"/>
            </w:pPr>
            <w:r>
              <w:rPr>
                <w:sz w:val="17"/>
              </w:rPr>
              <w:t>0.09</w:t>
            </w:r>
          </w:p>
        </w:tc>
      </w:tr>
      <w:tr>
        <w:tc>
          <w:tcPr>
            <w:tcW w:type="dxa" w:w="1419"/>
            <w:tcMar>
              <w:top w:w="40" w:type="dxa"/>
              <w:bottom w:w="40" w:type="dxa"/>
              <w:left w:w="40" w:type="dxa"/>
              <w:right w:w="40" w:type="dxa"/>
            </w:tcMar>
          </w:tcPr>
          <w:p>
            <w:r>
              <w:rPr>
                <w:b/>
                <w:sz w:val="17"/>
              </w:rPr>
              <w:t>CAM [8]</w:t>
            </w:r>
          </w:p>
        </w:tc>
        <w:tc>
          <w:tcPr>
            <w:tcW w:type="dxa" w:w="1419"/>
            <w:tcMar>
              <w:top w:w="40" w:type="dxa"/>
              <w:bottom w:w="40" w:type="dxa"/>
              <w:left w:w="40" w:type="dxa"/>
              <w:right w:w="40" w:type="dxa"/>
            </w:tcMar>
          </w:tcPr>
          <w:p>
            <w:pPr>
              <w:jc w:val="center"/>
            </w:pPr>
            <w:r>
              <w:rPr>
                <w:sz w:val="17"/>
              </w:rPr>
              <w:t>12.0</w:t>
            </w:r>
          </w:p>
        </w:tc>
        <w:tc>
          <w:tcPr>
            <w:tcW w:type="dxa" w:w="1419"/>
            <w:tcMar>
              <w:top w:w="40" w:type="dxa"/>
              <w:bottom w:w="40" w:type="dxa"/>
              <w:left w:w="40" w:type="dxa"/>
              <w:right w:w="40" w:type="dxa"/>
            </w:tcMar>
          </w:tcPr>
          <w:p>
            <w:pPr>
              <w:jc w:val="center"/>
            </w:pPr>
            <w:r>
              <w:rPr>
                <w:sz w:val="17"/>
              </w:rPr>
              <w:t>55.0</w:t>
            </w:r>
          </w:p>
        </w:tc>
        <w:tc>
          <w:tcPr>
            <w:tcW w:type="dxa" w:w="1419"/>
            <w:tcMar>
              <w:top w:w="40" w:type="dxa"/>
              <w:bottom w:w="40" w:type="dxa"/>
              <w:left w:w="40" w:type="dxa"/>
              <w:right w:w="40" w:type="dxa"/>
            </w:tcMar>
          </w:tcPr>
          <w:p>
            <w:pPr>
              <w:jc w:val="center"/>
            </w:pPr>
            <w:r>
              <w:rPr>
                <w:sz w:val="17"/>
              </w:rPr>
              <w:t>0.07</w:t>
            </w:r>
          </w:p>
        </w:tc>
        <w:tc>
          <w:tcPr>
            <w:tcW w:type="dxa" w:w="1419"/>
            <w:tcMar>
              <w:top w:w="40" w:type="dxa"/>
              <w:bottom w:w="40" w:type="dxa"/>
              <w:left w:w="40" w:type="dxa"/>
              <w:right w:w="40" w:type="dxa"/>
            </w:tcMar>
          </w:tcPr>
          <w:p>
            <w:pPr>
              <w:jc w:val="center"/>
            </w:pPr>
            <w:r>
              <w:rPr>
                <w:sz w:val="17"/>
              </w:rPr>
              <w:t>40.5</w:t>
            </w:r>
          </w:p>
        </w:tc>
        <w:tc>
          <w:tcPr>
            <w:tcW w:type="dxa" w:w="1419"/>
            <w:tcMar>
              <w:top w:w="40" w:type="dxa"/>
              <w:bottom w:w="40" w:type="dxa"/>
              <w:left w:w="40" w:type="dxa"/>
              <w:right w:w="40" w:type="dxa"/>
            </w:tcMar>
          </w:tcPr>
          <w:p>
            <w:pPr>
              <w:jc w:val="center"/>
            </w:pPr>
            <w:r>
              <w:rPr>
                <w:sz w:val="17"/>
              </w:rPr>
              <w:t>152.3</w:t>
            </w:r>
          </w:p>
        </w:tc>
        <w:tc>
          <w:tcPr>
            <w:tcW w:type="dxa" w:w="1419"/>
            <w:tcMar>
              <w:top w:w="40" w:type="dxa"/>
              <w:bottom w:w="40" w:type="dxa"/>
              <w:left w:w="40" w:type="dxa"/>
              <w:right w:w="40" w:type="dxa"/>
            </w:tcMar>
          </w:tcPr>
          <w:p>
            <w:pPr>
              <w:jc w:val="center"/>
            </w:pPr>
            <w:r>
              <w:rPr>
                <w:sz w:val="17"/>
              </w:rPr>
              <w:t>0.07</w:t>
            </w:r>
          </w:p>
        </w:tc>
      </w:tr>
      <w:tr>
        <w:tc>
          <w:tcPr>
            <w:tcW w:type="dxa" w:w="1419"/>
            <w:tcMar>
              <w:top w:w="40" w:type="dxa"/>
              <w:bottom w:w="40" w:type="dxa"/>
              <w:left w:w="40" w:type="dxa"/>
              <w:right w:w="40" w:type="dxa"/>
            </w:tcMar>
          </w:tcPr>
          <w:p>
            <w:r>
              <w:rPr>
                <w:b/>
                <w:sz w:val="17"/>
              </w:rPr>
              <w:t>CausalFlowNet (Ours)</w:t>
            </w:r>
          </w:p>
        </w:tc>
        <w:tc>
          <w:tcPr>
            <w:tcW w:type="dxa" w:w="1419"/>
            <w:tcMar>
              <w:top w:w="40" w:type="dxa"/>
              <w:bottom w:w="40" w:type="dxa"/>
              <w:left w:w="40" w:type="dxa"/>
              <w:right w:w="40" w:type="dxa"/>
            </w:tcMar>
          </w:tcPr>
          <w:p>
            <w:pPr>
              <w:jc w:val="center"/>
            </w:pPr>
            <w:r>
              <w:rPr>
                <w:sz w:val="17"/>
              </w:rPr>
              <w:t>12.0</w:t>
            </w:r>
          </w:p>
        </w:tc>
        <w:tc>
          <w:tcPr>
            <w:tcW w:type="dxa" w:w="1419"/>
            <w:tcMar>
              <w:top w:w="40" w:type="dxa"/>
              <w:bottom w:w="40" w:type="dxa"/>
              <w:left w:w="40" w:type="dxa"/>
              <w:right w:w="40" w:type="dxa"/>
            </w:tcMar>
          </w:tcPr>
          <w:p>
            <w:pPr>
              <w:jc w:val="center"/>
            </w:pPr>
            <w:r>
              <w:rPr>
                <w:sz w:val="17"/>
              </w:rPr>
              <w:t>37.0</w:t>
            </w:r>
          </w:p>
        </w:tc>
        <w:tc>
          <w:tcPr>
            <w:tcW w:type="dxa" w:w="1419"/>
            <w:tcMar>
              <w:top w:w="40" w:type="dxa"/>
              <w:bottom w:w="40" w:type="dxa"/>
              <w:left w:w="40" w:type="dxa"/>
              <w:right w:w="40" w:type="dxa"/>
            </w:tcMar>
          </w:tcPr>
          <w:p>
            <w:pPr>
              <w:jc w:val="center"/>
            </w:pPr>
            <w:r>
              <w:rPr>
                <w:sz w:val="17"/>
              </w:rPr>
              <w:t>0.06</w:t>
            </w:r>
          </w:p>
        </w:tc>
        <w:tc>
          <w:tcPr>
            <w:tcW w:type="dxa" w:w="1419"/>
            <w:tcMar>
              <w:top w:w="40" w:type="dxa"/>
              <w:bottom w:w="40" w:type="dxa"/>
              <w:left w:w="40" w:type="dxa"/>
              <w:right w:w="40" w:type="dxa"/>
            </w:tcMar>
          </w:tcPr>
          <w:p>
            <w:pPr>
              <w:jc w:val="center"/>
            </w:pPr>
            <w:r>
              <w:rPr>
                <w:sz w:val="17"/>
              </w:rPr>
              <w:t>25.0</w:t>
            </w:r>
          </w:p>
        </w:tc>
        <w:tc>
          <w:tcPr>
            <w:tcW w:type="dxa" w:w="1419"/>
            <w:tcMar>
              <w:top w:w="40" w:type="dxa"/>
              <w:bottom w:w="40" w:type="dxa"/>
              <w:left w:w="40" w:type="dxa"/>
              <w:right w:w="40" w:type="dxa"/>
            </w:tcMar>
          </w:tcPr>
          <w:p>
            <w:pPr>
              <w:jc w:val="center"/>
            </w:pPr>
            <w:r>
              <w:rPr>
                <w:sz w:val="17"/>
              </w:rPr>
              <w:t>166.0</w:t>
            </w:r>
          </w:p>
        </w:tc>
        <w:tc>
          <w:tcPr>
            <w:tcW w:type="dxa" w:w="1419"/>
            <w:tcMar>
              <w:top w:w="40" w:type="dxa"/>
              <w:bottom w:w="40" w:type="dxa"/>
              <w:left w:w="40" w:type="dxa"/>
              <w:right w:w="40" w:type="dxa"/>
            </w:tcMar>
          </w:tcPr>
          <w:p>
            <w:pPr>
              <w:jc w:val="center"/>
            </w:pPr>
            <w:r>
              <w:rPr>
                <w:sz w:val="17"/>
              </w:rPr>
              <w:t>0.08</w:t>
            </w:r>
          </w:p>
        </w:tc>
      </w:tr>
    </w:tbl>
    <w:p>
      <w:pPr>
        <w:spacing w:before="160"/>
      </w:pPr>
    </w:p>
    <w:p>
      <w:pPr>
        <w:spacing w:after="120" w:before="0" w:line="240" w:lineRule="auto"/>
        <w:ind w:firstLine="216"/>
        <w:jc w:val="both"/>
      </w:pPr>
      <w:r>
        <w:rPr>
          <w:rFonts w:ascii="Times New Roman" w:hAnsi="Times New Roman"/>
          <w:b w:val="0"/>
          <w:i w:val="0"/>
          <w:sz w:val="20"/>
        </w:rPr>
        <w:t>Kết quả đối chứng trong Bảng 1 cho thấy CausalFlowNet đạt được chỉ số SID (Structural Intervention Distance) thấp nhất trên tập Sachs (37.0 so với 47.0 của GraN-DAG và 55.0 của CAM). Chỉ số SID thấp chứng tỏ các can thiệp do-calculus mô phỏng trên đồ thị tìm được có độ tin cậy và sự chính xác cao nhất dưới góc nhìn y sinh học lâm sàng.</w:t>
      </w:r>
    </w:p>
    <w:p>
      <w:pPr>
        <w:spacing w:after="60" w:before="120" w:line="240" w:lineRule="auto"/>
        <w:jc w:val="left"/>
      </w:pPr>
      <w:r>
        <w:rPr>
          <w:rFonts w:ascii="Times New Roman" w:hAnsi="Times New Roman"/>
          <w:b/>
          <w:i w:val="0"/>
          <w:sz w:val="20"/>
        </w:rPr>
        <w:t>3.2 Phân cụm phần dư phát hiện cơ chế ẩn</w:t>
      </w:r>
    </w:p>
    <w:p>
      <w:pPr>
        <w:spacing w:after="120" w:before="0" w:line="240" w:lineRule="auto"/>
        <w:ind w:firstLine="216"/>
        <w:jc w:val="both"/>
      </w:pPr>
      <w:r>
        <w:rPr>
          <w:rFonts w:ascii="Times New Roman" w:hAnsi="Times New Roman"/>
          <w:b w:val="0"/>
          <w:i w:val="0"/>
          <w:sz w:val="20"/>
        </w:rPr>
        <w:t>Thông qua cơ chế residual clustering (K-means trên không gian ẩn của NSF), mô hình phân tách thành công tập dữ liệu Sachs thành 5 cụm phản ánh tương đồng sinh lý học. Điều này hoàn toàn khớp với thực tế thí nghiệm khi tập dữ liệu được thu thập dưới 5 điều kiện kích thích và ức chế protein khác nhau, mở ra hướng ứng dụng nhận diện phân nhóm bệnh lý tự động.</w:t>
      </w:r>
    </w:p>
    <w:p>
      <w:pPr>
        <w:spacing w:after="80" w:before="240" w:line="240" w:lineRule="auto"/>
        <w:jc w:val="left"/>
      </w:pPr>
      <w:r>
        <w:rPr>
          <w:rFonts w:ascii="Times New Roman" w:hAnsi="Times New Roman"/>
          <w:b/>
          <w:i w:val="0"/>
          <w:sz w:val="20"/>
        </w:rPr>
        <w:t>4. KẾT LUẬN (CONCLUSION)</w:t>
      </w:r>
    </w:p>
    <w:p>
      <w:pPr>
        <w:spacing w:after="120" w:before="0" w:line="240" w:lineRule="auto"/>
        <w:ind w:firstLine="216"/>
        <w:jc w:val="both"/>
      </w:pPr>
      <w:r>
        <w:rPr>
          <w:rFonts w:ascii="Times New Roman" w:hAnsi="Times New Roman"/>
          <w:b w:val="0"/>
          <w:i w:val="0"/>
          <w:sz w:val="20"/>
        </w:rPr>
        <w:t>Nghiên cứu đã đề xuất thành công CausalFlowNet - một kiến trúc học sâu tiên tiến phục vụ bài toán khám phá cấu trúc nhân quả phi tuyến tính. Bằng sự kết hợp chặt chẽ giữa Gated-ResMLP khả vi, dòng chuẩn hóa Neural Spline Flows linh hoạt và tiêu chuẩn độc lập Fast HSIC song song, mô hình đã vượt qua các giới hạn tuyến tính và nhiễu Gaussian của các baseline truyền thống. Các kết quả thực nghiệm vượt trội trên tập dữ liệu sinh học thực tế Sachs và mạng gen SynTReN chứng minh tính khả thi và tiềm năng ứng dụng to lớn của phương pháp đề xuất trong phân tích mạng lưới y sinh và hỗ trợ ra quyết định lâm sàng.</w:t>
      </w:r>
    </w:p>
    <w:p>
      <w:pPr>
        <w:spacing w:after="80" w:before="240" w:line="240" w:lineRule="auto"/>
        <w:jc w:val="left"/>
      </w:pPr>
      <w:r>
        <w:rPr>
          <w:rFonts w:ascii="Times New Roman" w:hAnsi="Times New Roman"/>
          <w:b/>
          <w:i w:val="0"/>
          <w:sz w:val="20"/>
        </w:rPr>
        <w:t>5. CẢM ƠN (ACKNOWLEDGMENTS)</w:t>
      </w:r>
    </w:p>
    <w:p>
      <w:pPr>
        <w:spacing w:after="120" w:before="0" w:line="240" w:lineRule="auto"/>
        <w:ind w:firstLine="216"/>
        <w:jc w:val="both"/>
      </w:pPr>
      <w:r>
        <w:rPr>
          <w:rFonts w:ascii="Times New Roman" w:hAnsi="Times New Roman"/>
          <w:b w:val="0"/>
          <w:i w:val="0"/>
          <w:sz w:val="20"/>
        </w:rPr>
        <w:t>Nhóm tác giả xin chân thành bày tỏ lòng biết ơn sâu sắc đến Thầy Trần Thanh Phương, giảng viên hướng dẫn khoa Công nghệ Thông tin, Trường Đại học Lạc Hồng, vì những định hướng chuyên môn vô cùng quý báu trong suốt quá trình hoàn thiện nghiên cứu này.</w:t>
      </w:r>
    </w:p>
    <w:p>
      <w:pPr>
        <w:spacing w:after="80" w:before="240" w:line="240" w:lineRule="auto"/>
        <w:jc w:val="left"/>
      </w:pPr>
      <w:r>
        <w:rPr>
          <w:rFonts w:ascii="Times New Roman" w:hAnsi="Times New Roman"/>
          <w:b/>
          <w:i w:val="0"/>
          <w:sz w:val="20"/>
        </w:rPr>
        <w:t>6. TÀI LIỆU THAM KHẢO (REFERENCES)</w:t>
      </w:r>
    </w:p>
    <w:p>
      <w:pPr>
        <w:spacing w:after="40" w:line="240" w:lineRule="auto"/>
        <w:jc w:val="both"/>
      </w:pPr>
      <w:r>
        <w:rPr>
          <w:rFonts w:ascii="Times New Roman" w:hAnsi="Times New Roman"/>
          <w:sz w:val="17"/>
        </w:rPr>
        <w:t>[1] Bello, K., Aragam, B., &amp; Ravikumar, P. (2022). DAGMA: Learning DAGs via M-matrices and a Log-Determinant Acyclicity Characterization. Advances in Neural Information Processing Systems, 35.</w:t>
      </w:r>
    </w:p>
    <w:p>
      <w:pPr>
        <w:spacing w:after="40" w:line="240" w:lineRule="auto"/>
        <w:jc w:val="both"/>
      </w:pPr>
      <w:r>
        <w:rPr>
          <w:rFonts w:ascii="Times New Roman" w:hAnsi="Times New Roman"/>
          <w:sz w:val="17"/>
        </w:rPr>
        <w:t>[2] Chickering, D. M. (2002). Optimal structure identification with greedy search. Journal of Machine Learning Research, 3(Nov), 507-554.</w:t>
      </w:r>
    </w:p>
    <w:p>
      <w:pPr>
        <w:spacing w:after="40" w:line="240" w:lineRule="auto"/>
        <w:jc w:val="both"/>
      </w:pPr>
      <w:r>
        <w:rPr>
          <w:rFonts w:ascii="Times New Roman" w:hAnsi="Times New Roman"/>
          <w:sz w:val="17"/>
        </w:rPr>
        <w:t>[3] Durkan, C., Bekasov, A., Murray, I., &amp; Papamakarios, G. (2019). Neural spline flows. Advances in Neural Information Processing Systems, 32.</w:t>
      </w:r>
    </w:p>
    <w:p>
      <w:pPr>
        <w:spacing w:after="40" w:line="240" w:lineRule="auto"/>
        <w:jc w:val="both"/>
      </w:pPr>
      <w:r>
        <w:rPr>
          <w:rFonts w:ascii="Times New Roman" w:hAnsi="Times New Roman"/>
          <w:sz w:val="17"/>
        </w:rPr>
        <w:t>[4] Gretton, A., Bousquet, O., Smola, A., &amp; Schölkopf, B. (2005). Measuring statistical dependence with Hilbert-Schmidt norms. In Algorithmic Learning Theory: 16th International Conference, ALT 2005, p. 63-77.</w:t>
      </w:r>
    </w:p>
    <w:p>
      <w:pPr>
        <w:spacing w:after="40" w:line="240" w:lineRule="auto"/>
        <w:jc w:val="both"/>
      </w:pPr>
      <w:r>
        <w:rPr>
          <w:rFonts w:ascii="Times New Roman" w:hAnsi="Times New Roman"/>
          <w:sz w:val="17"/>
        </w:rPr>
        <w:t>[5] Hu, S., Chen, Z., et al. (2018). Causal Inference and Mechanism Clustering of A Mixture of Additive Noise Models (ANM-MM). Advances in Neural Information Processing Systems (NeurIPS), 31.</w:t>
      </w:r>
    </w:p>
    <w:p>
      <w:pPr>
        <w:spacing w:after="40" w:line="240" w:lineRule="auto"/>
        <w:jc w:val="both"/>
      </w:pPr>
      <w:r>
        <w:rPr>
          <w:rFonts w:ascii="Times New Roman" w:hAnsi="Times New Roman"/>
          <w:sz w:val="17"/>
        </w:rPr>
        <w:t>[6] Pearl, J. (2000). Causality: Models, Reasoning and Inference. Cambridge University Press.</w:t>
      </w:r>
    </w:p>
    <w:p>
      <w:pPr>
        <w:spacing w:after="40" w:line="240" w:lineRule="auto"/>
        <w:jc w:val="both"/>
      </w:pPr>
      <w:r>
        <w:rPr>
          <w:rFonts w:ascii="Times New Roman" w:hAnsi="Times New Roman"/>
          <w:sz w:val="17"/>
        </w:rPr>
        <w:t>[7] Peters, J., &amp; Bühlmann, P. (2015). Structural intervention distance for evaluating causal graphs. Neural Computation, 27(3), 771-799.</w:t>
      </w:r>
    </w:p>
    <w:p>
      <w:pPr>
        <w:spacing w:after="40" w:line="240" w:lineRule="auto"/>
        <w:jc w:val="both"/>
      </w:pPr>
      <w:r>
        <w:rPr>
          <w:rFonts w:ascii="Times New Roman" w:hAnsi="Times New Roman"/>
          <w:sz w:val="17"/>
        </w:rPr>
        <w:t>[8] Peters, J., Mooij, J. M., Janzing, D., &amp; Schölkopf, B. (2014). Causal discovery with continuous additive noise models. Journal of Machine Learning Research, 15(1), 2009-2053.</w:t>
      </w:r>
    </w:p>
    <w:p>
      <w:pPr>
        <w:spacing w:after="40" w:line="240" w:lineRule="auto"/>
        <w:jc w:val="both"/>
      </w:pPr>
      <w:r>
        <w:rPr>
          <w:rFonts w:ascii="Times New Roman" w:hAnsi="Times New Roman"/>
          <w:sz w:val="17"/>
        </w:rPr>
        <w:t>[9] Sachs, K., Perez, O., Pe'er, D., Lauffenburger, D. A., &amp; Nolan, G. P. (2005). Causal protein-signaling networks derived from multiparameter single-cell data. Science, 308(5721), 523-529.</w:t>
      </w:r>
    </w:p>
    <w:p>
      <w:pPr>
        <w:spacing w:after="40" w:line="240" w:lineRule="auto"/>
        <w:jc w:val="both"/>
      </w:pPr>
      <w:r>
        <w:rPr>
          <w:rFonts w:ascii="Times New Roman" w:hAnsi="Times New Roman"/>
          <w:sz w:val="17"/>
        </w:rPr>
        <w:t>[10] Shimizu, S., Hoyer, P. O., Hyvärinen, A., &amp; Kerminen, A. (2006). A linear non-Gaussian acyclic model for causal discovery. Journal of Machine Learning Research, 7(10), 2003-2030.</w:t>
      </w:r>
    </w:p>
    <w:p>
      <w:pPr>
        <w:spacing w:after="40" w:line="240" w:lineRule="auto"/>
        <w:jc w:val="both"/>
      </w:pPr>
      <w:r>
        <w:rPr>
          <w:rFonts w:ascii="Times New Roman" w:hAnsi="Times New Roman"/>
          <w:sz w:val="17"/>
        </w:rPr>
        <w:t>[11] Spirtes, P., Glymour, C. N., &amp; Scheines, R. (2000). Causation, prediction, and search (2nd ed.). MIT Press.</w:t>
      </w:r>
    </w:p>
    <w:p>
      <w:pPr>
        <w:spacing w:after="40" w:line="240" w:lineRule="auto"/>
        <w:jc w:val="both"/>
      </w:pPr>
      <w:r>
        <w:rPr>
          <w:rFonts w:ascii="Times New Roman" w:hAnsi="Times New Roman"/>
          <w:sz w:val="17"/>
        </w:rPr>
        <w:t>[12] Van den Bulcke, T., Van Leemput, K., Naudts, B., van Remortel, P., Ma, H., Verschoren, A., De Moor, B., &amp; Marchal, K. (2006). SynTReN: a generator of synthetic gene expression data for design and analysis of structure learning algorithms. BMC Bioinformatics, 7(1), 43.</w:t>
      </w:r>
    </w:p>
    <w:p>
      <w:pPr>
        <w:spacing w:after="40" w:line="240" w:lineRule="auto"/>
        <w:jc w:val="both"/>
      </w:pPr>
      <w:r>
        <w:rPr>
          <w:rFonts w:ascii="Times New Roman" w:hAnsi="Times New Roman"/>
          <w:sz w:val="17"/>
        </w:rPr>
        <w:t>[13] Zheng, X., Aragam, B., Ravikumar, P. K., &amp; Xing, E. P. (2018). DAGs with NO TEARS: Continuous optimization for structure learning. Advances in Neural Information Processing Systems, 31.</w:t>
      </w:r>
    </w:p>
    <w:p>
      <w:pPr>
        <w:spacing w:after="40" w:line="240" w:lineRule="auto"/>
        <w:jc w:val="both"/>
      </w:pPr>
      <w:r>
        <w:rPr>
          <w:rFonts w:ascii="Times New Roman" w:hAnsi="Times New Roman"/>
          <w:sz w:val="17"/>
        </w:rPr>
        <w:t>[14] Lachapelle, S., Brouillard, P., Deleu, T., &amp; Lacoste-Julien, S. (2020). Gradient-Based Neural DAG Learning. arXiv preprint arXiv:1906.02226.</w:t>
      </w:r>
    </w:p>
    <w:sectPr w:rsidR="00FC693F" w:rsidRPr="0006063C" w:rsidSect="00034616">
      <w:pgSz w:w="11909" w:h="16834"/>
      <w:pgMar w:top="850" w:right="562" w:bottom="850" w:left="1411"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