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800"/>
        <w:jc w:val="center"/>
      </w:pPr>
      <w:r>
        <w:rPr>
          <w:b/>
          <w:bCs/>
          <w:sz w:val="44"/>
          <w:szCs w:val="44"/>
        </w:rPr>
        <w:t xml:space="preserve">RiskMantle AI Guardrails Benchmark</w:t>
      </w:r>
    </w:p>
    <w:p>
      <w:pPr>
        <w:spacing w:after="160"/>
        <w:jc w:val="center"/>
      </w:pPr>
      <w:r>
        <w:rPr>
          <w:i/>
          <w:iCs/>
          <w:color w:val="666666"/>
          <w:sz w:val="28"/>
          <w:szCs w:val="28"/>
        </w:rPr>
        <w:t xml:space="preserve">Building a Vendor-Neutral Way to Stress-Test AI Safety Layers</w:t>
      </w:r>
    </w:p>
    <w:p>
      <w:pPr>
        <w:pBdr>
          <w:bottom w:val="single" w:color="999999" w:sz="6" w:space="12"/>
        </w:pBdr>
        <w:spacing w:after="200"/>
        <w:jc w:val="center"/>
      </w:pPr>
      <w:r>
        <w:rPr>
          <w:color w:val="666666"/>
          <w:sz w:val="20"/>
          <w:szCs w:val="20"/>
        </w:rPr>
        <w:t xml:space="preserve">RiskMantle Research  •  August 2026</w:t>
      </w:r>
    </w:p>
    <w:p>
      <w:pPr>
        <w:spacing w:after="200"/>
        <w:jc w:val="left"/>
      </w:pPr>
      <w:r>
        <w:rPr>
          <w:b w:val="false"/>
          <w:bCs w:val="false"/>
          <w:i w:val="false"/>
          <w:iCs w:val="false"/>
        </w:rPr>
        <w:t xml:space="preserve">Every major cloud AI platform now ships a “guardrails” product — Azure AI Foundry Guardrails, Amazon Bedrock Guardrails, and equivalents from every other hyperscaler. Each vendor publishes guidance on configuring and testing its own guardrails. What none of them publish is a standardized, independent way to compare one platform's guardrails against another's. If you're an enterprise architect trying to decide which platform's safety layer to build on, you're largely left triangulating vendor marketing against your own ad hoc testing.</w:t>
      </w:r>
    </w:p>
    <w:p>
      <w:pPr>
        <w:spacing w:after="200"/>
        <w:jc w:val="left"/>
      </w:pPr>
      <w:r>
        <w:rPr>
          <w:b w:val="false"/>
          <w:bCs w:val="false"/>
          <w:i w:val="false"/>
          <w:iCs w:val="false"/>
        </w:rPr>
        <w:t xml:space="preserve">That gap is what the RiskMantle AI Guardrails Benchmark sets out to close — not as a one-off report, but as the first entry in what we intend to be a recurring, MLPerf/Stanford-HELM-style benchmark program for AI governance and safety infrastructure.</w:t>
      </w:r>
    </w:p>
    <w:p>
      <w:pPr>
        <w:pStyle w:val="Heading1"/>
        <w:spacing w:after="160" w:before="360"/>
      </w:pPr>
      <w:r>
        <w:t xml:space="preserve">What the Benchmark Is About</w:t>
      </w:r>
    </w:p>
    <w:p>
      <w:pPr>
        <w:spacing w:after="200"/>
        <w:jc w:val="left"/>
      </w:pPr>
      <w:r>
        <w:rPr>
          <w:b w:val="false"/>
          <w:bCs w:val="false"/>
          <w:i w:val="false"/>
          <w:iCs w:val="false"/>
        </w:rPr>
        <w:t xml:space="preserve">The benchmark compares Azure AI Foundry Guardrails and Amazon Bedrock Guardrails across six categories of adversarial and everyday enterprise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8E8E8" w:val="clear"/>
            <w:tcMar>
              <w:top w:type="dxa" w:w="100"/>
              <w:left w:type="dxa" w:w="120"/>
              <w:bottom w:type="dxa" w:w="100"/>
              <w:right w:type="dxa" w:w="120"/>
            </w:tcMar>
          </w:tcPr>
          <w:p>
            <w:r>
              <w:rPr>
                <w:b/>
                <w:bCs/>
                <w:sz w:val="20"/>
                <w:szCs w:val="20"/>
              </w:rPr>
              <w:t xml:space="preserve">Category</w:t>
            </w:r>
          </w:p>
        </w:tc>
        <w:tc>
          <w:tcPr>
            <w:tcW w:type="dxa" w:w="6960"/>
            <w:shd w:fill="E8E8E8" w:val="clear"/>
            <w:tcMar>
              <w:top w:type="dxa" w:w="100"/>
              <w:left w:type="dxa" w:w="120"/>
              <w:bottom w:type="dxa" w:w="100"/>
              <w:right w:type="dxa" w:w="120"/>
            </w:tcMar>
          </w:tcPr>
          <w:p>
            <w:r>
              <w:rPr>
                <w:b/>
                <w:bCs/>
                <w:sz w:val="19"/>
                <w:szCs w:val="19"/>
              </w:rPr>
              <w:t xml:space="preserve">What it tests</w:t>
            </w:r>
          </w:p>
        </w:tc>
      </w:tr>
      <w:tr>
        <w:tc>
          <w:tcPr>
            <w:tcW w:type="dxa" w:w="2400"/>
            <w:tcMar>
              <w:top w:type="dxa" w:w="100"/>
              <w:left w:type="dxa" w:w="120"/>
              <w:bottom w:type="dxa" w:w="100"/>
              <w:right w:type="dxa" w:w="120"/>
            </w:tcMar>
          </w:tcPr>
          <w:p>
            <w:r>
              <w:rPr>
                <w:b w:val="false"/>
                <w:bCs w:val="false"/>
                <w:sz w:val="20"/>
                <w:szCs w:val="20"/>
              </w:rPr>
              <w:t xml:space="preserve">Prompt Injection</w:t>
            </w:r>
          </w:p>
        </w:tc>
        <w:tc>
          <w:tcPr>
            <w:tcW w:type="dxa" w:w="6960"/>
            <w:tcMar>
              <w:top w:type="dxa" w:w="100"/>
              <w:left w:type="dxa" w:w="120"/>
              <w:bottom w:type="dxa" w:w="100"/>
              <w:right w:type="dxa" w:w="120"/>
            </w:tcMar>
          </w:tcPr>
          <w:p>
            <w:r>
              <w:rPr>
                <w:b w:val="false"/>
                <w:bCs w:val="false"/>
                <w:sz w:val="19"/>
                <w:szCs w:val="19"/>
              </w:rPr>
              <w:t xml:space="preserve">Can the platform detect attempts to override system instructions?</w:t>
            </w:r>
          </w:p>
        </w:tc>
      </w:tr>
      <w:tr>
        <w:tc>
          <w:tcPr>
            <w:tcW w:type="dxa" w:w="2400"/>
            <w:tcMar>
              <w:top w:type="dxa" w:w="100"/>
              <w:left w:type="dxa" w:w="120"/>
              <w:bottom w:type="dxa" w:w="100"/>
              <w:right w:type="dxa" w:w="120"/>
            </w:tcMar>
          </w:tcPr>
          <w:p>
            <w:r>
              <w:rPr>
                <w:b w:val="false"/>
                <w:bCs w:val="false"/>
                <w:sz w:val="20"/>
                <w:szCs w:val="20"/>
              </w:rPr>
              <w:t xml:space="preserve">Jailbreak</w:t>
            </w:r>
          </w:p>
        </w:tc>
        <w:tc>
          <w:tcPr>
            <w:tcW w:type="dxa" w:w="6960"/>
            <w:tcMar>
              <w:top w:type="dxa" w:w="100"/>
              <w:left w:type="dxa" w:w="120"/>
              <w:bottom w:type="dxa" w:w="100"/>
              <w:right w:type="dxa" w:w="120"/>
            </w:tcMar>
          </w:tcPr>
          <w:p>
            <w:r>
              <w:rPr>
                <w:b w:val="false"/>
                <w:bCs w:val="false"/>
                <w:sz w:val="19"/>
                <w:szCs w:val="19"/>
              </w:rPr>
              <w:t xml:space="preserve">Does it resist classic and encoded jailbreak techniques (DAN, roleplay, ROT13, Morse, multi-turn escalation)?</w:t>
            </w:r>
          </w:p>
        </w:tc>
      </w:tr>
      <w:tr>
        <w:tc>
          <w:tcPr>
            <w:tcW w:type="dxa" w:w="2400"/>
            <w:tcMar>
              <w:top w:type="dxa" w:w="100"/>
              <w:left w:type="dxa" w:w="120"/>
              <w:bottom w:type="dxa" w:w="100"/>
              <w:right w:type="dxa" w:w="120"/>
            </w:tcMar>
          </w:tcPr>
          <w:p>
            <w:r>
              <w:rPr>
                <w:b w:val="false"/>
                <w:bCs w:val="false"/>
                <w:sz w:val="20"/>
                <w:szCs w:val="20"/>
              </w:rPr>
              <w:t xml:space="preserve">PII &amp; Sensitive Data</w:t>
            </w:r>
          </w:p>
        </w:tc>
        <w:tc>
          <w:tcPr>
            <w:tcW w:type="dxa" w:w="6960"/>
            <w:tcMar>
              <w:top w:type="dxa" w:w="100"/>
              <w:left w:type="dxa" w:w="120"/>
              <w:bottom w:type="dxa" w:w="100"/>
              <w:right w:type="dxa" w:w="120"/>
            </w:tcMar>
          </w:tcPr>
          <w:p>
            <w:r>
              <w:rPr>
                <w:b w:val="false"/>
                <w:bCs w:val="false"/>
                <w:sz w:val="19"/>
                <w:szCs w:val="19"/>
              </w:rPr>
              <w:t xml:space="preserve">Does it mask, redact, or block SSNs, credit cards, API keys, private keys, and other secrets?</w:t>
            </w:r>
          </w:p>
        </w:tc>
      </w:tr>
      <w:tr>
        <w:tc>
          <w:tcPr>
            <w:tcW w:type="dxa" w:w="2400"/>
            <w:tcMar>
              <w:top w:type="dxa" w:w="100"/>
              <w:left w:type="dxa" w:w="120"/>
              <w:bottom w:type="dxa" w:w="100"/>
              <w:right w:type="dxa" w:w="120"/>
            </w:tcMar>
          </w:tcPr>
          <w:p>
            <w:r>
              <w:rPr>
                <w:b w:val="false"/>
                <w:bCs w:val="false"/>
                <w:sz w:val="20"/>
                <w:szCs w:val="20"/>
              </w:rPr>
              <w:t xml:space="preserve">Harmful Content</w:t>
            </w:r>
          </w:p>
        </w:tc>
        <w:tc>
          <w:tcPr>
            <w:tcW w:type="dxa" w:w="6960"/>
            <w:tcMar>
              <w:top w:type="dxa" w:w="100"/>
              <w:left w:type="dxa" w:w="120"/>
              <w:bottom w:type="dxa" w:w="100"/>
              <w:right w:type="dxa" w:w="120"/>
            </w:tcMar>
          </w:tcPr>
          <w:p>
            <w:r>
              <w:rPr>
                <w:b w:val="false"/>
                <w:bCs w:val="false"/>
                <w:sz w:val="19"/>
                <w:szCs w:val="19"/>
              </w:rPr>
              <w:t xml:space="preserve">Does it refuse violence, weapons, malware, and fraud requests — including hedged or hypothetical framings?</w:t>
            </w:r>
          </w:p>
        </w:tc>
      </w:tr>
      <w:tr>
        <w:tc>
          <w:tcPr>
            <w:tcW w:type="dxa" w:w="2400"/>
            <w:tcMar>
              <w:top w:type="dxa" w:w="100"/>
              <w:left w:type="dxa" w:w="120"/>
              <w:bottom w:type="dxa" w:w="100"/>
              <w:right w:type="dxa" w:w="120"/>
            </w:tcMar>
          </w:tcPr>
          <w:p>
            <w:r>
              <w:rPr>
                <w:b w:val="false"/>
                <w:bCs w:val="false"/>
                <w:sz w:val="20"/>
                <w:szCs w:val="20"/>
              </w:rPr>
              <w:t xml:space="preserve">Grounded RAG</w:t>
            </w:r>
          </w:p>
        </w:tc>
        <w:tc>
          <w:tcPr>
            <w:tcW w:type="dxa" w:w="6960"/>
            <w:tcMar>
              <w:top w:type="dxa" w:w="100"/>
              <w:left w:type="dxa" w:w="120"/>
              <w:bottom w:type="dxa" w:w="100"/>
              <w:right w:type="dxa" w:w="120"/>
            </w:tcMar>
          </w:tcPr>
          <w:p>
            <w:r>
              <w:rPr>
                <w:b w:val="false"/>
                <w:bCs w:val="false"/>
                <w:sz w:val="19"/>
                <w:szCs w:val="19"/>
              </w:rPr>
              <w:t xml:space="preserve">Does it stay grounded in provided context rather than hallucinating, and handle conflicting/missing evidence?</w:t>
            </w:r>
          </w:p>
        </w:tc>
      </w:tr>
      <w:tr>
        <w:tc>
          <w:tcPr>
            <w:tcW w:type="dxa" w:w="2400"/>
            <w:tcMar>
              <w:top w:type="dxa" w:w="100"/>
              <w:left w:type="dxa" w:w="120"/>
              <w:bottom w:type="dxa" w:w="100"/>
              <w:right w:type="dxa" w:w="120"/>
            </w:tcMar>
          </w:tcPr>
          <w:p>
            <w:r>
              <w:rPr>
                <w:b w:val="false"/>
                <w:bCs w:val="false"/>
                <w:sz w:val="20"/>
                <w:szCs w:val="20"/>
              </w:rPr>
              <w:t xml:space="preserve">Enterprise Policy</w:t>
            </w:r>
          </w:p>
        </w:tc>
        <w:tc>
          <w:tcPr>
            <w:tcW w:type="dxa" w:w="6960"/>
            <w:tcMar>
              <w:top w:type="dxa" w:w="100"/>
              <w:left w:type="dxa" w:w="120"/>
              <w:bottom w:type="dxa" w:w="100"/>
              <w:right w:type="dxa" w:w="120"/>
            </w:tcMar>
          </w:tcPr>
          <w:p>
            <w:r>
              <w:rPr>
                <w:b w:val="false"/>
                <w:bCs w:val="false"/>
                <w:sz w:val="19"/>
                <w:szCs w:val="19"/>
              </w:rPr>
              <w:t xml:space="preserve">Does a role-scoped assistant (healthcare, banking, legal, HR, IT, insurance, education, government) refuse out-of-scope requests?</w:t>
            </w:r>
          </w:p>
        </w:tc>
      </w:tr>
    </w:tbl>
    <w:p>
      <w:pPr>
        <w:spacing w:after="160"/>
      </w:pPr>
    </w:p>
    <w:p>
      <w:pPr>
        <w:spacing w:after="200"/>
        <w:jc w:val="left"/>
      </w:pPr>
      <w:r>
        <w:rPr>
          <w:b w:val="false"/>
          <w:bCs w:val="false"/>
          <w:i w:val="false"/>
          <w:iCs w:val="false"/>
        </w:rPr>
        <w:t xml:space="preserve">Each category is scored on standard classification metrics — precision, recall, F1, accuracy, false-positive rate (over-blocking), false-negative rate (under-blocking), plus latency and estimated cost per 1,000 requests. Every category also includes deliberately benign “control” prompts, because a guardrail that blocks everything is just as useless as one that blocks nothing — over-blocking is a real product cost, not a free safety margin.</w:t>
      </w:r>
    </w:p>
    <w:p>
      <w:pPr>
        <w:spacing w:after="200"/>
        <w:jc w:val="left"/>
      </w:pPr>
      <w:r>
        <w:rPr>
          <w:b w:val="false"/>
          <w:bCs w:val="false"/>
          <w:i w:val="false"/>
          <w:iCs w:val="false"/>
        </w:rPr>
        <w:t xml:space="preserve">The dataset currently stands at 200 hand-authored prompts (toward an eventual 500-prompt target from the original spec), spanning difficulty levels from easy to adversarial, backed by a small fictional-company knowledge base for the RAG tests and eight distinct professional personas for the enterprise-policy tests.</w:t>
      </w:r>
    </w:p>
    <w:p>
      <w:pPr>
        <w:pStyle w:val="Heading1"/>
        <w:spacing w:after="160" w:before="360"/>
      </w:pPr>
      <w:r>
        <w:t xml:space="preserve">The Process</w:t>
      </w:r>
    </w:p>
    <w:p>
      <w:pPr>
        <w:spacing w:after="200"/>
        <w:jc w:val="left"/>
      </w:pPr>
      <w:r>
        <w:rPr>
          <w:b w:val="false"/>
          <w:bCs w:val="false"/>
          <w:i w:val="false"/>
          <w:iCs w:val="false"/>
        </w:rPr>
        <w:t xml:space="preserve">The benchmark is built as a small, auditable Python pipeline rather than a black box:</w:t>
      </w:r>
    </w:p>
    <w:p>
      <w:pPr>
        <w:pStyle w:val="ListParagraph"/>
        <w:numPr>
          <w:ilvl w:val="0"/>
          <w:numId w:val="2"/>
        </w:numPr>
        <w:spacing w:after="100"/>
      </w:pPr>
      <w:r>
        <w:t xml:space="preserve">Prompt dataset — structured test cases with an expected action (allow / block / mask / redact / warn / decline / reject), difficulty tag, and subcategory.</w:t>
      </w:r>
    </w:p>
    <w:p>
      <w:pPr>
        <w:pStyle w:val="ListParagraph"/>
        <w:numPr>
          <w:ilvl w:val="0"/>
          <w:numId w:val="2"/>
        </w:numPr>
        <w:spacing w:after="100"/>
      </w:pPr>
      <w:r>
        <w:t xml:space="preserve">Platform runners — one module per platform that sends each prompt through the real, guardrail-protected model endpoint and normalizes the response into a shared result shape.</w:t>
      </w:r>
    </w:p>
    <w:p>
      <w:pPr>
        <w:pStyle w:val="ListParagraph"/>
        <w:numPr>
          <w:ilvl w:val="0"/>
          <w:numId w:val="2"/>
        </w:numPr>
        <w:spacing w:after="100"/>
      </w:pPr>
      <w:r>
        <w:t xml:space="preserve">Orchestrator — runs every prompt against every configured platform, in parallel, and writes raw results to a timestamped file.</w:t>
      </w:r>
    </w:p>
    <w:p>
      <w:pPr>
        <w:pStyle w:val="ListParagraph"/>
        <w:numPr>
          <w:ilvl w:val="0"/>
          <w:numId w:val="2"/>
        </w:numPr>
        <w:spacing w:after="100"/>
      </w:pPr>
      <w:r>
        <w:t xml:space="preserve">Content judge — inspects what the model actually said, not just whether the platform's structural guardrail signal fired.</w:t>
      </w:r>
    </w:p>
    <w:p>
      <w:pPr>
        <w:pStyle w:val="ListParagraph"/>
        <w:numPr>
          <w:ilvl w:val="0"/>
          <w:numId w:val="2"/>
        </w:numPr>
        <w:spacing w:after="100"/>
      </w:pPr>
      <w:r>
        <w:t xml:space="preserve">Scoring and reporting — turns judged results into a per-category, per-platform scorecard.</w:t>
      </w:r>
    </w:p>
    <w:p>
      <w:pPr>
        <w:spacing w:after="200"/>
        <w:jc w:val="left"/>
      </w:pPr>
      <w:r>
        <w:rPr>
          <w:b w:val="false"/>
          <w:bCs w:val="false"/>
          <w:i w:val="false"/>
          <w:iCs w:val="false"/>
        </w:rPr>
        <w:t xml:space="preserve">For the AWS side, we didn't just point the benchmark at a generic guardrail — we built one specifically configured to mirror the six test categories, using Bedrock's real policy types: PROMPT_ATTACK and content filters for injection/jailbreak/harmful-content, sensitive-information entity detection for PII, and denied topics (medical diagnosis, personalized investment advice, personnel decisions, classification determination) for enterprise policy. This makes the comparison closer to “best-effort configured guardrails on each platform” rather than “default settings,” which we think is the fairer and more useful comparison for a buyer actually evaluating these products.</w:t>
      </w:r>
    </w:p>
    <w:p>
      <w:pPr>
        <w:pStyle w:val="Heading1"/>
        <w:spacing w:after="160" w:before="360"/>
      </w:pPr>
      <w:r>
        <w:t xml:space="preserve">The Challenges</w:t>
      </w:r>
    </w:p>
    <w:p>
      <w:pPr>
        <w:spacing w:after="200"/>
        <w:jc w:val="left"/>
      </w:pPr>
      <w:r>
        <w:rPr>
          <w:b w:val="false"/>
          <w:bCs w:val="false"/>
          <w:i w:val="false"/>
          <w:iCs w:val="false"/>
        </w:rPr>
        <w:t xml:space="preserve">Nothing about this went smoothly on the first pass — and the challenges were, honestly, the most instructive part of the exercise.</w:t>
      </w:r>
    </w:p>
    <w:p>
      <w:pPr>
        <w:spacing w:after="200"/>
        <w:jc w:val="left"/>
      </w:pPr>
      <w:r>
        <w:rPr>
          <w:b w:val="false"/>
          <w:bCs w:val="false"/>
          <w:i w:val="false"/>
          <w:iCs w:val="false"/>
        </w:rPr>
        <w:t xml:space="preserve">There was no existing benchmark to build on. Every design decision — categories, scoring framework, evaluation matrix — had to be built from scratch.</w:t>
      </w:r>
    </w:p>
    <w:p>
      <w:pPr>
        <w:spacing w:after="200"/>
        <w:jc w:val="left"/>
      </w:pPr>
      <w:r>
        <w:rPr>
          <w:b w:val="false"/>
          <w:bCs w:val="false"/>
          <w:i w:val="false"/>
          <w:iCs w:val="false"/>
        </w:rPr>
        <w:t xml:space="preserve">The platform's own “guardrail tripped” signal turned out to be a poor proxy for “the response was actually safe.” Early runs showed Azure catching essentially none of the PII or grounded-RAG test cases. That looked like a real platform failure until we checked the raw response text and found Azure had simply refused in plain prose without tripping its formal content_filter API flag. Fixing this required capturing full response text on every call and building a second-pass content judge. That single fix moved Azure's measured recall on harmful content from 25% to 94% in one run — not because Azure got better, but because the benchmark stopped being blind to what it was already doing.</w:t>
      </w:r>
    </w:p>
    <w:p>
      <w:pPr>
        <w:spacing w:after="200"/>
        <w:jc w:val="left"/>
      </w:pPr>
      <w:r>
        <w:rPr>
          <w:b w:val="false"/>
          <w:bCs w:val="false"/>
          <w:i w:val="false"/>
          <w:iCs w:val="false"/>
        </w:rPr>
        <w:t xml:space="preserve">The judge itself was a moving target. A regex broad enough to catch a real refusal (“I cannot and will not process, store, or acknowledge that password”) also caught a benign privacy disclaimer (“I won't store your student ID, but here's how I can help”) — turning a true negative into a false positive. The fix was narrowing the trigger verbs to ones that reliably signal an actual refusal, and adding a more specific signal for the compound-negation case instead. Every fix was locked in with a regression test.</w:t>
      </w:r>
    </w:p>
    <w:p>
      <w:pPr>
        <w:spacing w:after="200"/>
        <w:jc w:val="left"/>
      </w:pPr>
      <w:r>
        <w:rPr>
          <w:b w:val="false"/>
          <w:bCs w:val="false"/>
          <w:i w:val="false"/>
          <w:iCs w:val="false"/>
        </w:rPr>
        <w:t xml:space="preserve">A schema-parsing bug silently discarded real evidence. AWS Bedrock's guardrail trace nests assessment data in a shape our code didn't fully anticipate, and the resulting crash only occurred when the guardrail had actually intervened — meaning every crash removed a real intervention event from the dataset before it was scored. Ten results in one run were silently dropped this way. Once fixed, the recovered data revealed real over-blocking problems in our own AWS guardrail configuration that had been invisible while those samples were crashing out instead of being counted.</w:t>
      </w:r>
    </w:p>
    <w:p>
      <w:pPr>
        <w:spacing w:after="200"/>
        <w:jc w:val="left"/>
      </w:pPr>
      <w:r>
        <w:rPr>
          <w:b w:val="false"/>
          <w:bCs w:val="false"/>
          <w:i w:val="false"/>
          <w:iCs w:val="false"/>
        </w:rPr>
        <w:t xml:space="preserve">Cloud infrastructure quirks ate real time: Bedrock model access silently lapses after 30 days of inactivity with a generic “legacy model” error, newer Claude models require a region-prefixed inference profile ID instead of a raw model ID, and guardrails have to already exist and be explicitly provisioned before a benchmark can reference them. None of these are benchmark bugs — they're the ordinary friction of testing against two independently-evolving commercial platforms.</w:t>
      </w:r>
    </w:p>
    <w:p>
      <w:pPr>
        <w:spacing w:after="200"/>
        <w:jc w:val="left"/>
      </w:pPr>
      <w:r>
        <w:rPr>
          <w:b w:val="false"/>
          <w:bCs w:val="false"/>
          <w:i w:val="false"/>
          <w:iCs w:val="false"/>
        </w:rPr>
        <w:t xml:space="preserve">Grounded RAG resisted testing cleanly. Building a live, indexed knowledge base on both platforms was out of scope for this pass, so RAG prompts ship with their reference passage inlined directly into the request instead. That means neither platform's purpose-built RAG-quality features are actually being exercised — so the near-zero recall both platforms show in this category reflects a benchmark limitation, not a real capability gap.</w:t>
      </w:r>
    </w:p>
    <w:p>
      <w:pPr>
        <w:pStyle w:val="Heading1"/>
        <w:spacing w:after="160" w:before="360"/>
      </w:pPr>
      <w:r>
        <w:t xml:space="preserve">The Results</w:t>
      </w:r>
    </w:p>
    <w:p>
      <w:pPr>
        <w:spacing w:after="200"/>
        <w:jc w:val="left"/>
      </w:pPr>
      <w:r>
        <w:rPr>
          <w:b w:val="false"/>
          <w:bCs w:val="false"/>
          <w:i w:val="false"/>
          <w:iCs w:val="false"/>
        </w:rPr>
        <w:t xml:space="preserve">With the measurement layer fixed and the AWS guardrail purpose-configured, here's where the two platforms stand as of the latest full run (200 prompts x 2 platforms, all scored):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8E8E8" w:val="clear"/>
            <w:tcMar>
              <w:top w:type="dxa" w:w="100"/>
              <w:left w:type="dxa" w:w="120"/>
              <w:bottom w:type="dxa" w:w="100"/>
              <w:right w:type="dxa" w:w="120"/>
            </w:tcMar>
          </w:tcPr>
          <w:p>
            <w:r>
              <w:rPr>
                <w:b/>
                <w:bCs/>
                <w:sz w:val="20"/>
                <w:szCs w:val="20"/>
              </w:rPr>
              <w:t xml:space="preserve">Category</w:t>
            </w:r>
          </w:p>
        </w:tc>
        <w:tc>
          <w:tcPr>
            <w:tcW w:type="dxa" w:w="3120"/>
            <w:shd w:fill="E8E8E8" w:val="clear"/>
            <w:tcMar>
              <w:top w:type="dxa" w:w="100"/>
              <w:left w:type="dxa" w:w="120"/>
              <w:bottom w:type="dxa" w:w="100"/>
              <w:right w:type="dxa" w:w="120"/>
            </w:tcMar>
          </w:tcPr>
          <w:p>
            <w:r>
              <w:rPr>
                <w:b/>
                <w:bCs/>
                <w:sz w:val="20"/>
                <w:szCs w:val="20"/>
              </w:rPr>
              <w:t xml:space="preserve">AWS Recall (FNR)</w:t>
            </w:r>
          </w:p>
        </w:tc>
        <w:tc>
          <w:tcPr>
            <w:tcW w:type="dxa" w:w="3120"/>
            <w:shd w:fill="E8E8E8" w:val="clear"/>
            <w:tcMar>
              <w:top w:type="dxa" w:w="100"/>
              <w:left w:type="dxa" w:w="120"/>
              <w:bottom w:type="dxa" w:w="100"/>
              <w:right w:type="dxa" w:w="120"/>
            </w:tcMar>
          </w:tcPr>
          <w:p>
            <w:r>
              <w:rPr>
                <w:b/>
                <w:bCs/>
                <w:sz w:val="20"/>
                <w:szCs w:val="20"/>
              </w:rPr>
              <w:t xml:space="preserve">Azure Recall (FNR)</w:t>
            </w:r>
          </w:p>
        </w:tc>
      </w:tr>
      <w:tr>
        <w:tc>
          <w:tcPr>
            <w:tcW w:type="dxa" w:w="3120"/>
            <w:tcMar>
              <w:top w:type="dxa" w:w="100"/>
              <w:left w:type="dxa" w:w="120"/>
              <w:bottom w:type="dxa" w:w="100"/>
              <w:right w:type="dxa" w:w="120"/>
            </w:tcMar>
          </w:tcPr>
          <w:p>
            <w:r>
              <w:rPr>
                <w:b w:val="false"/>
                <w:bCs w:val="false"/>
                <w:sz w:val="20"/>
                <w:szCs w:val="20"/>
              </w:rPr>
              <w:t xml:space="preserve">Harmful Content</w:t>
            </w:r>
          </w:p>
        </w:tc>
        <w:tc>
          <w:tcPr>
            <w:tcW w:type="dxa" w:w="3120"/>
            <w:tcMar>
              <w:top w:type="dxa" w:w="100"/>
              <w:left w:type="dxa" w:w="120"/>
              <w:bottom w:type="dxa" w:w="100"/>
              <w:right w:type="dxa" w:w="120"/>
            </w:tcMar>
          </w:tcPr>
          <w:p>
            <w:r>
              <w:rPr>
                <w:b w:val="false"/>
                <w:bCs w:val="false"/>
                <w:sz w:val="20"/>
                <w:szCs w:val="20"/>
              </w:rPr>
              <w:t xml:space="preserve">0.97 (0.03)</w:t>
            </w:r>
          </w:p>
        </w:tc>
        <w:tc>
          <w:tcPr>
            <w:tcW w:type="dxa" w:w="3120"/>
            <w:tcMar>
              <w:top w:type="dxa" w:w="100"/>
              <w:left w:type="dxa" w:w="120"/>
              <w:bottom w:type="dxa" w:w="100"/>
              <w:right w:type="dxa" w:w="120"/>
            </w:tcMar>
          </w:tcPr>
          <w:p>
            <w:r>
              <w:rPr>
                <w:b w:val="false"/>
                <w:bCs w:val="false"/>
                <w:sz w:val="20"/>
                <w:szCs w:val="20"/>
              </w:rPr>
              <w:t xml:space="preserve">0.88 (0.12)</w:t>
            </w:r>
          </w:p>
        </w:tc>
      </w:tr>
      <w:tr>
        <w:tc>
          <w:tcPr>
            <w:tcW w:type="dxa" w:w="3120"/>
            <w:tcMar>
              <w:top w:type="dxa" w:w="100"/>
              <w:left w:type="dxa" w:w="120"/>
              <w:bottom w:type="dxa" w:w="100"/>
              <w:right w:type="dxa" w:w="120"/>
            </w:tcMar>
          </w:tcPr>
          <w:p>
            <w:r>
              <w:rPr>
                <w:b w:val="false"/>
                <w:bCs w:val="false"/>
                <w:sz w:val="20"/>
                <w:szCs w:val="20"/>
              </w:rPr>
              <w:t xml:space="preserve">Jailbreak</w:t>
            </w:r>
          </w:p>
        </w:tc>
        <w:tc>
          <w:tcPr>
            <w:tcW w:type="dxa" w:w="3120"/>
            <w:tcMar>
              <w:top w:type="dxa" w:w="100"/>
              <w:left w:type="dxa" w:w="120"/>
              <w:bottom w:type="dxa" w:w="100"/>
              <w:right w:type="dxa" w:w="120"/>
            </w:tcMar>
          </w:tcPr>
          <w:p>
            <w:r>
              <w:rPr>
                <w:b w:val="false"/>
                <w:bCs w:val="false"/>
                <w:sz w:val="20"/>
                <w:szCs w:val="20"/>
              </w:rPr>
              <w:t xml:space="preserve">0.75 (0.25)</w:t>
            </w:r>
          </w:p>
        </w:tc>
        <w:tc>
          <w:tcPr>
            <w:tcW w:type="dxa" w:w="3120"/>
            <w:tcMar>
              <w:top w:type="dxa" w:w="100"/>
              <w:left w:type="dxa" w:w="120"/>
              <w:bottom w:type="dxa" w:w="100"/>
              <w:right w:type="dxa" w:w="120"/>
            </w:tcMar>
          </w:tcPr>
          <w:p>
            <w:r>
              <w:rPr>
                <w:b w:val="false"/>
                <w:bCs w:val="false"/>
                <w:sz w:val="20"/>
                <w:szCs w:val="20"/>
              </w:rPr>
              <w:t xml:space="preserve">0.81 (0.19)</w:t>
            </w:r>
          </w:p>
        </w:tc>
      </w:tr>
      <w:tr>
        <w:tc>
          <w:tcPr>
            <w:tcW w:type="dxa" w:w="3120"/>
            <w:tcMar>
              <w:top w:type="dxa" w:w="100"/>
              <w:left w:type="dxa" w:w="120"/>
              <w:bottom w:type="dxa" w:w="100"/>
              <w:right w:type="dxa" w:w="120"/>
            </w:tcMar>
          </w:tcPr>
          <w:p>
            <w:r>
              <w:rPr>
                <w:b w:val="false"/>
                <w:bCs w:val="false"/>
                <w:sz w:val="20"/>
                <w:szCs w:val="20"/>
              </w:rPr>
              <w:t xml:space="preserve">Prompt Injection</w:t>
            </w:r>
          </w:p>
        </w:tc>
        <w:tc>
          <w:tcPr>
            <w:tcW w:type="dxa" w:w="3120"/>
            <w:tcMar>
              <w:top w:type="dxa" w:w="100"/>
              <w:left w:type="dxa" w:w="120"/>
              <w:bottom w:type="dxa" w:w="100"/>
              <w:right w:type="dxa" w:w="120"/>
            </w:tcMar>
          </w:tcPr>
          <w:p>
            <w:r>
              <w:rPr>
                <w:b w:val="false"/>
                <w:bCs w:val="false"/>
                <w:sz w:val="20"/>
                <w:szCs w:val="20"/>
              </w:rPr>
              <w:t xml:space="preserve">0.79 (0.21)</w:t>
            </w:r>
          </w:p>
        </w:tc>
        <w:tc>
          <w:tcPr>
            <w:tcW w:type="dxa" w:w="3120"/>
            <w:tcMar>
              <w:top w:type="dxa" w:w="100"/>
              <w:left w:type="dxa" w:w="120"/>
              <w:bottom w:type="dxa" w:w="100"/>
              <w:right w:type="dxa" w:w="120"/>
            </w:tcMar>
          </w:tcPr>
          <w:p>
            <w:r>
              <w:rPr>
                <w:b w:val="false"/>
                <w:bCs w:val="false"/>
                <w:sz w:val="20"/>
                <w:szCs w:val="20"/>
              </w:rPr>
              <w:t xml:space="preserve">0.79 (0.21)</w:t>
            </w:r>
          </w:p>
        </w:tc>
      </w:tr>
      <w:tr>
        <w:tc>
          <w:tcPr>
            <w:tcW w:type="dxa" w:w="3120"/>
            <w:tcMar>
              <w:top w:type="dxa" w:w="100"/>
              <w:left w:type="dxa" w:w="120"/>
              <w:bottom w:type="dxa" w:w="100"/>
              <w:right w:type="dxa" w:w="120"/>
            </w:tcMar>
          </w:tcPr>
          <w:p>
            <w:r>
              <w:rPr>
                <w:b w:val="false"/>
                <w:bCs w:val="false"/>
                <w:sz w:val="20"/>
                <w:szCs w:val="20"/>
              </w:rPr>
              <w:t xml:space="preserve">Enterprise Policy</w:t>
            </w:r>
          </w:p>
        </w:tc>
        <w:tc>
          <w:tcPr>
            <w:tcW w:type="dxa" w:w="3120"/>
            <w:tcMar>
              <w:top w:type="dxa" w:w="100"/>
              <w:left w:type="dxa" w:w="120"/>
              <w:bottom w:type="dxa" w:w="100"/>
              <w:right w:type="dxa" w:w="120"/>
            </w:tcMar>
          </w:tcPr>
          <w:p>
            <w:r>
              <w:rPr>
                <w:b w:val="false"/>
                <w:bCs w:val="false"/>
                <w:sz w:val="20"/>
                <w:szCs w:val="20"/>
              </w:rPr>
              <w:t xml:space="preserve">0.82 (0.18)</w:t>
            </w:r>
          </w:p>
        </w:tc>
        <w:tc>
          <w:tcPr>
            <w:tcW w:type="dxa" w:w="3120"/>
            <w:tcMar>
              <w:top w:type="dxa" w:w="100"/>
              <w:left w:type="dxa" w:w="120"/>
              <w:bottom w:type="dxa" w:w="100"/>
              <w:right w:type="dxa" w:w="120"/>
            </w:tcMar>
          </w:tcPr>
          <w:p>
            <w:r>
              <w:rPr>
                <w:b w:val="false"/>
                <w:bCs w:val="false"/>
                <w:sz w:val="20"/>
                <w:szCs w:val="20"/>
              </w:rPr>
              <w:t xml:space="preserve">0.59 (0.41)</w:t>
            </w:r>
          </w:p>
        </w:tc>
      </w:tr>
      <w:tr>
        <w:tc>
          <w:tcPr>
            <w:tcW w:type="dxa" w:w="3120"/>
            <w:tcMar>
              <w:top w:type="dxa" w:w="100"/>
              <w:left w:type="dxa" w:w="120"/>
              <w:bottom w:type="dxa" w:w="100"/>
              <w:right w:type="dxa" w:w="120"/>
            </w:tcMar>
          </w:tcPr>
          <w:p>
            <w:r>
              <w:rPr>
                <w:b w:val="false"/>
                <w:bCs w:val="false"/>
                <w:sz w:val="20"/>
                <w:szCs w:val="20"/>
              </w:rPr>
              <w:t xml:space="preserve">PII &amp; Sensitive Data</w:t>
            </w:r>
          </w:p>
        </w:tc>
        <w:tc>
          <w:tcPr>
            <w:tcW w:type="dxa" w:w="3120"/>
            <w:tcMar>
              <w:top w:type="dxa" w:w="100"/>
              <w:left w:type="dxa" w:w="120"/>
              <w:bottom w:type="dxa" w:w="100"/>
              <w:right w:type="dxa" w:w="120"/>
            </w:tcMar>
          </w:tcPr>
          <w:p>
            <w:r>
              <w:rPr>
                <w:b w:val="false"/>
                <w:bCs w:val="false"/>
                <w:sz w:val="20"/>
                <w:szCs w:val="20"/>
              </w:rPr>
              <w:t xml:space="preserve">0.71 (0.29)</w:t>
            </w:r>
          </w:p>
        </w:tc>
        <w:tc>
          <w:tcPr>
            <w:tcW w:type="dxa" w:w="3120"/>
            <w:tcMar>
              <w:top w:type="dxa" w:w="100"/>
              <w:left w:type="dxa" w:w="120"/>
              <w:bottom w:type="dxa" w:w="100"/>
              <w:right w:type="dxa" w:w="120"/>
            </w:tcMar>
          </w:tcPr>
          <w:p>
            <w:r>
              <w:rPr>
                <w:b w:val="false"/>
                <w:bCs w:val="false"/>
                <w:sz w:val="20"/>
                <w:szCs w:val="20"/>
              </w:rPr>
              <w:t xml:space="preserve">0.29 (0.71)</w:t>
            </w:r>
          </w:p>
        </w:tc>
      </w:tr>
      <w:tr>
        <w:tc>
          <w:tcPr>
            <w:tcW w:type="dxa" w:w="3120"/>
            <w:tcMar>
              <w:top w:type="dxa" w:w="100"/>
              <w:left w:type="dxa" w:w="120"/>
              <w:bottom w:type="dxa" w:w="100"/>
              <w:right w:type="dxa" w:w="120"/>
            </w:tcMar>
          </w:tcPr>
          <w:p>
            <w:r>
              <w:rPr>
                <w:b w:val="false"/>
                <w:bCs w:val="false"/>
                <w:sz w:val="20"/>
                <w:szCs w:val="20"/>
              </w:rPr>
              <w:t xml:space="preserve">Grounded RAG</w:t>
            </w:r>
          </w:p>
        </w:tc>
        <w:tc>
          <w:tcPr>
            <w:tcW w:type="dxa" w:w="3120"/>
            <w:tcMar>
              <w:top w:type="dxa" w:w="100"/>
              <w:left w:type="dxa" w:w="120"/>
              <w:bottom w:type="dxa" w:w="100"/>
              <w:right w:type="dxa" w:w="120"/>
            </w:tcMar>
          </w:tcPr>
          <w:p>
            <w:r>
              <w:rPr>
                <w:b w:val="false"/>
                <w:bCs w:val="false"/>
                <w:sz w:val="20"/>
                <w:szCs w:val="20"/>
              </w:rPr>
              <w:t xml:space="preserve">0.17 (0.83)</w:t>
            </w:r>
          </w:p>
        </w:tc>
        <w:tc>
          <w:tcPr>
            <w:tcW w:type="dxa" w:w="3120"/>
            <w:tcMar>
              <w:top w:type="dxa" w:w="100"/>
              <w:left w:type="dxa" w:w="120"/>
              <w:bottom w:type="dxa" w:w="100"/>
              <w:right w:type="dxa" w:w="120"/>
            </w:tcMar>
          </w:tcPr>
          <w:p>
            <w:r>
              <w:rPr>
                <w:b w:val="false"/>
                <w:bCs w:val="false"/>
                <w:sz w:val="20"/>
                <w:szCs w:val="20"/>
              </w:rPr>
              <w:t xml:space="preserve">0.22 (0.78)</w:t>
            </w:r>
          </w:p>
        </w:tc>
      </w:tr>
    </w:tbl>
    <w:p>
      <w:pPr>
        <w:spacing w:after="160"/>
      </w:pPr>
    </w:p>
    <w:p>
      <w:pPr>
        <w:spacing w:after="200"/>
        <w:jc w:val="left"/>
      </w:pPr>
      <w:r>
        <w:rPr>
          <w:b w:val="false"/>
          <w:bCs w:val="false"/>
          <w:i w:val="false"/>
          <w:iCs w:val="false"/>
        </w:rPr>
        <w:t xml:space="preserve">Precision and false-positive rate were 1.00 / 0.00 for Azure across every category in this run — Azure's guardrail never flagged a benign control prompt. AWS's purpose-built guardrail, by contrast, showed 25% and 50% false-positive rates on Enterprise Policy and PII respectively — a direct, measurable cost of configuring a more aggressive, category-matched policy.</w:t>
      </w:r>
    </w:p>
    <w:p>
      <w:pPr>
        <w:spacing w:after="200"/>
        <w:jc w:val="left"/>
      </w:pPr>
      <w:r>
        <w:rPr>
          <w:b/>
          <w:bCs/>
          <w:i w:val="false"/>
          <w:iCs w:val="false"/>
        </w:rPr>
        <w:t xml:space="preserve">A guardrail-tuning case study: rather than just report those AWS false positives, we traced them to root cause and tuned the configuration — lowering a content filter's strength, softening a PII action from a hard block to redaction, and tightening an overly broad topic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shd w:fill="E8E8E8" w:val="clear"/>
            <w:tcMar>
              <w:top w:type="dxa" w:w="100"/>
              <w:left w:type="dxa" w:w="120"/>
              <w:bottom w:type="dxa" w:w="100"/>
              <w:right w:type="dxa" w:w="120"/>
            </w:tcMar>
          </w:tcPr>
          <w:p>
            <w:r>
              <w:rPr>
                <w:b/>
                <w:bCs/>
                <w:sz w:val="19"/>
                <w:szCs w:val="19"/>
              </w:rPr>
              <w:t xml:space="preserve">Metric</w:t>
            </w:r>
          </w:p>
        </w:tc>
        <w:tc>
          <w:tcPr>
            <w:tcW w:type="dxa" w:w="2320"/>
            <w:shd w:fill="E8E8E8" w:val="clear"/>
            <w:tcMar>
              <w:top w:type="dxa" w:w="100"/>
              <w:left w:type="dxa" w:w="120"/>
              <w:bottom w:type="dxa" w:w="100"/>
              <w:right w:type="dxa" w:w="120"/>
            </w:tcMar>
          </w:tcPr>
          <w:p>
            <w:r>
              <w:rPr>
                <w:b/>
                <w:bCs/>
                <w:sz w:val="19"/>
                <w:szCs w:val="19"/>
              </w:rPr>
              <w:t xml:space="preserve">Before tuning</w:t>
            </w:r>
          </w:p>
        </w:tc>
        <w:tc>
          <w:tcPr>
            <w:tcW w:type="dxa" w:w="2320"/>
            <w:shd w:fill="E8E8E8" w:val="clear"/>
            <w:tcMar>
              <w:top w:type="dxa" w:w="100"/>
              <w:left w:type="dxa" w:w="120"/>
              <w:bottom w:type="dxa" w:w="100"/>
              <w:right w:type="dxa" w:w="120"/>
            </w:tcMar>
          </w:tcPr>
          <w:p>
            <w:r>
              <w:rPr>
                <w:b/>
                <w:bCs/>
                <w:sz w:val="19"/>
                <w:szCs w:val="19"/>
              </w:rPr>
              <w:t xml:space="preserve">After tuning</w:t>
            </w:r>
          </w:p>
        </w:tc>
        <w:tc>
          <w:tcPr>
            <w:tcW w:type="dxa" w:w="2320"/>
            <w:shd w:fill="E8E8E8" w:val="clear"/>
            <w:tcMar>
              <w:top w:type="dxa" w:w="100"/>
              <w:left w:type="dxa" w:w="120"/>
              <w:bottom w:type="dxa" w:w="100"/>
              <w:right w:type="dxa" w:w="120"/>
            </w:tcMar>
          </w:tcPr>
          <w:p>
            <w:r>
              <w:rPr>
                <w:b/>
                <w:bCs/>
                <w:sz w:val="19"/>
                <w:szCs w:val="19"/>
              </w:rPr>
              <w:t xml:space="preserve">Change</w:t>
            </w:r>
          </w:p>
        </w:tc>
      </w:tr>
      <w:tr>
        <w:tc>
          <w:tcPr>
            <w:tcW w:type="dxa" w:w="2400"/>
            <w:tcMar>
              <w:top w:type="dxa" w:w="100"/>
              <w:left w:type="dxa" w:w="120"/>
              <w:bottom w:type="dxa" w:w="100"/>
              <w:right w:type="dxa" w:w="120"/>
            </w:tcMar>
          </w:tcPr>
          <w:p>
            <w:r>
              <w:rPr>
                <w:b w:val="false"/>
                <w:bCs w:val="false"/>
                <w:sz w:val="19"/>
                <w:szCs w:val="19"/>
              </w:rPr>
              <w:t xml:space="preserve">Enterprise Policy FPR</w:t>
            </w:r>
          </w:p>
        </w:tc>
        <w:tc>
          <w:tcPr>
            <w:tcW w:type="dxa" w:w="2320"/>
            <w:tcMar>
              <w:top w:type="dxa" w:w="100"/>
              <w:left w:type="dxa" w:w="120"/>
              <w:bottom w:type="dxa" w:w="100"/>
              <w:right w:type="dxa" w:w="120"/>
            </w:tcMar>
          </w:tcPr>
          <w:p>
            <w:r>
              <w:rPr>
                <w:b w:val="false"/>
                <w:bCs w:val="false"/>
                <w:sz w:val="19"/>
                <w:szCs w:val="19"/>
              </w:rPr>
              <w:t xml:space="preserve">0.25</w:t>
            </w:r>
          </w:p>
        </w:tc>
        <w:tc>
          <w:tcPr>
            <w:tcW w:type="dxa" w:w="2320"/>
            <w:tcMar>
              <w:top w:type="dxa" w:w="100"/>
              <w:left w:type="dxa" w:w="120"/>
              <w:bottom w:type="dxa" w:w="100"/>
              <w:right w:type="dxa" w:w="120"/>
            </w:tcMar>
          </w:tcPr>
          <w:p>
            <w:r>
              <w:rPr>
                <w:b w:val="false"/>
                <w:bCs w:val="false"/>
                <w:sz w:val="19"/>
                <w:szCs w:val="19"/>
              </w:rPr>
              <w:t xml:space="preserve">0.12</w:t>
            </w:r>
          </w:p>
        </w:tc>
        <w:tc>
          <w:tcPr>
            <w:tcW w:type="dxa" w:w="2320"/>
            <w:tcMar>
              <w:top w:type="dxa" w:w="100"/>
              <w:left w:type="dxa" w:w="120"/>
              <w:bottom w:type="dxa" w:w="100"/>
              <w:right w:type="dxa" w:w="120"/>
            </w:tcMar>
          </w:tcPr>
          <w:p>
            <w:r>
              <w:rPr>
                <w:b w:val="false"/>
                <w:bCs w:val="false"/>
                <w:sz w:val="19"/>
                <w:szCs w:val="19"/>
              </w:rPr>
              <w:t xml:space="preserve">Cut roughly in half</w:t>
            </w:r>
          </w:p>
        </w:tc>
      </w:tr>
      <w:tr>
        <w:tc>
          <w:tcPr>
            <w:tcW w:type="dxa" w:w="2400"/>
            <w:tcMar>
              <w:top w:type="dxa" w:w="100"/>
              <w:left w:type="dxa" w:w="120"/>
              <w:bottom w:type="dxa" w:w="100"/>
              <w:right w:type="dxa" w:w="120"/>
            </w:tcMar>
          </w:tcPr>
          <w:p>
            <w:r>
              <w:rPr>
                <w:b w:val="false"/>
                <w:bCs w:val="false"/>
                <w:sz w:val="19"/>
                <w:szCs w:val="19"/>
              </w:rPr>
              <w:t xml:space="preserve">Enterprise Policy Recall</w:t>
            </w:r>
          </w:p>
        </w:tc>
        <w:tc>
          <w:tcPr>
            <w:tcW w:type="dxa" w:w="2320"/>
            <w:tcMar>
              <w:top w:type="dxa" w:w="100"/>
              <w:left w:type="dxa" w:w="120"/>
              <w:bottom w:type="dxa" w:w="100"/>
              <w:right w:type="dxa" w:w="120"/>
            </w:tcMar>
          </w:tcPr>
          <w:p>
            <w:r>
              <w:rPr>
                <w:b w:val="false"/>
                <w:bCs w:val="false"/>
                <w:sz w:val="19"/>
                <w:szCs w:val="19"/>
              </w:rPr>
              <w:t xml:space="preserve">0.82</w:t>
            </w:r>
          </w:p>
        </w:tc>
        <w:tc>
          <w:tcPr>
            <w:tcW w:type="dxa" w:w="2320"/>
            <w:tcMar>
              <w:top w:type="dxa" w:w="100"/>
              <w:left w:type="dxa" w:w="120"/>
              <w:bottom w:type="dxa" w:w="100"/>
              <w:right w:type="dxa" w:w="120"/>
            </w:tcMar>
          </w:tcPr>
          <w:p>
            <w:r>
              <w:rPr>
                <w:b w:val="false"/>
                <w:bCs w:val="false"/>
                <w:sz w:val="19"/>
                <w:szCs w:val="19"/>
              </w:rPr>
              <w:t xml:space="preserve">0.82</w:t>
            </w:r>
          </w:p>
        </w:tc>
        <w:tc>
          <w:tcPr>
            <w:tcW w:type="dxa" w:w="2320"/>
            <w:tcMar>
              <w:top w:type="dxa" w:w="100"/>
              <w:left w:type="dxa" w:w="120"/>
              <w:bottom w:type="dxa" w:w="100"/>
              <w:right w:type="dxa" w:w="120"/>
            </w:tcMar>
          </w:tcPr>
          <w:p>
            <w:r>
              <w:rPr>
                <w:b w:val="false"/>
                <w:bCs w:val="false"/>
                <w:sz w:val="19"/>
                <w:szCs w:val="19"/>
              </w:rPr>
              <w:t xml:space="preserve">Unchanged</w:t>
            </w:r>
          </w:p>
        </w:tc>
      </w:tr>
      <w:tr>
        <w:tc>
          <w:tcPr>
            <w:tcW w:type="dxa" w:w="2400"/>
            <w:tcMar>
              <w:top w:type="dxa" w:w="100"/>
              <w:left w:type="dxa" w:w="120"/>
              <w:bottom w:type="dxa" w:w="100"/>
              <w:right w:type="dxa" w:w="120"/>
            </w:tcMar>
          </w:tcPr>
          <w:p>
            <w:r>
              <w:rPr>
                <w:b w:val="false"/>
                <w:bCs w:val="false"/>
                <w:sz w:val="19"/>
                <w:szCs w:val="19"/>
              </w:rPr>
              <w:t xml:space="preserve">PII FPR</w:t>
            </w:r>
          </w:p>
        </w:tc>
        <w:tc>
          <w:tcPr>
            <w:tcW w:type="dxa" w:w="2320"/>
            <w:tcMar>
              <w:top w:type="dxa" w:w="100"/>
              <w:left w:type="dxa" w:w="120"/>
              <w:bottom w:type="dxa" w:w="100"/>
              <w:right w:type="dxa" w:w="120"/>
            </w:tcMar>
          </w:tcPr>
          <w:p>
            <w:r>
              <w:rPr>
                <w:b w:val="false"/>
                <w:bCs w:val="false"/>
                <w:sz w:val="19"/>
                <w:szCs w:val="19"/>
              </w:rPr>
              <w:t xml:space="preserve">0.50</w:t>
            </w:r>
          </w:p>
        </w:tc>
        <w:tc>
          <w:tcPr>
            <w:tcW w:type="dxa" w:w="2320"/>
            <w:tcMar>
              <w:top w:type="dxa" w:w="100"/>
              <w:left w:type="dxa" w:w="120"/>
              <w:bottom w:type="dxa" w:w="100"/>
              <w:right w:type="dxa" w:w="120"/>
            </w:tcMar>
          </w:tcPr>
          <w:p>
            <w:r>
              <w:rPr>
                <w:b w:val="false"/>
                <w:bCs w:val="false"/>
                <w:sz w:val="19"/>
                <w:szCs w:val="19"/>
              </w:rPr>
              <w:t xml:space="preserve">0.50</w:t>
            </w:r>
          </w:p>
        </w:tc>
        <w:tc>
          <w:tcPr>
            <w:tcW w:type="dxa" w:w="2320"/>
            <w:tcMar>
              <w:top w:type="dxa" w:w="100"/>
              <w:left w:type="dxa" w:w="120"/>
              <w:bottom w:type="dxa" w:w="100"/>
              <w:right w:type="dxa" w:w="120"/>
            </w:tcMar>
          </w:tcPr>
          <w:p>
            <w:r>
              <w:rPr>
                <w:b w:val="false"/>
                <w:bCs w:val="false"/>
                <w:sz w:val="19"/>
                <w:szCs w:val="19"/>
              </w:rPr>
              <w:t xml:space="preserve">Unchanged (but see note)</w:t>
            </w:r>
          </w:p>
        </w:tc>
      </w:tr>
      <w:tr>
        <w:tc>
          <w:tcPr>
            <w:tcW w:type="dxa" w:w="2400"/>
            <w:tcMar>
              <w:top w:type="dxa" w:w="100"/>
              <w:left w:type="dxa" w:w="120"/>
              <w:bottom w:type="dxa" w:w="100"/>
              <w:right w:type="dxa" w:w="120"/>
            </w:tcMar>
          </w:tcPr>
          <w:p>
            <w:r>
              <w:rPr>
                <w:b w:val="false"/>
                <w:bCs w:val="false"/>
                <w:sz w:val="19"/>
                <w:szCs w:val="19"/>
              </w:rPr>
              <w:t xml:space="preserve">PII Recall</w:t>
            </w:r>
          </w:p>
        </w:tc>
        <w:tc>
          <w:tcPr>
            <w:tcW w:type="dxa" w:w="2320"/>
            <w:tcMar>
              <w:top w:type="dxa" w:w="100"/>
              <w:left w:type="dxa" w:w="120"/>
              <w:bottom w:type="dxa" w:w="100"/>
              <w:right w:type="dxa" w:w="120"/>
            </w:tcMar>
          </w:tcPr>
          <w:p>
            <w:r>
              <w:rPr>
                <w:b w:val="false"/>
                <w:bCs w:val="false"/>
                <w:sz w:val="19"/>
                <w:szCs w:val="19"/>
              </w:rPr>
              <w:t xml:space="preserve">0.71</w:t>
            </w:r>
          </w:p>
        </w:tc>
        <w:tc>
          <w:tcPr>
            <w:tcW w:type="dxa" w:w="2320"/>
            <w:tcMar>
              <w:top w:type="dxa" w:w="100"/>
              <w:left w:type="dxa" w:w="120"/>
              <w:bottom w:type="dxa" w:w="100"/>
              <w:right w:type="dxa" w:w="120"/>
            </w:tcMar>
          </w:tcPr>
          <w:p>
            <w:r>
              <w:rPr>
                <w:b w:val="false"/>
                <w:bCs w:val="false"/>
                <w:sz w:val="19"/>
                <w:szCs w:val="19"/>
              </w:rPr>
              <w:t xml:space="preserve">0.65</w:t>
            </w:r>
          </w:p>
        </w:tc>
        <w:tc>
          <w:tcPr>
            <w:tcW w:type="dxa" w:w="2320"/>
            <w:tcMar>
              <w:top w:type="dxa" w:w="100"/>
              <w:left w:type="dxa" w:w="120"/>
              <w:bottom w:type="dxa" w:w="100"/>
              <w:right w:type="dxa" w:w="120"/>
            </w:tcMar>
          </w:tcPr>
          <w:p>
            <w:r>
              <w:rPr>
                <w:b w:val="false"/>
                <w:bCs w:val="false"/>
                <w:sz w:val="19"/>
                <w:szCs w:val="19"/>
              </w:rPr>
              <w:t xml:space="preserve">Within normal sampling noise</w:t>
            </w:r>
          </w:p>
        </w:tc>
      </w:tr>
    </w:tbl>
    <w:p>
      <w:pPr>
        <w:spacing w:after="160"/>
      </w:pPr>
    </w:p>
    <w:p>
      <w:pPr>
        <w:spacing w:after="200"/>
        <w:jc w:val="left"/>
      </w:pPr>
      <w:r>
        <w:rPr>
          <w:b w:val="false"/>
          <w:bCs w:val="false"/>
          <w:i w:val="false"/>
          <w:iCs w:val="false"/>
        </w:rPr>
        <w:t xml:space="preserve">The PII false-positive rate staying flat masks a real improvement: a benign password-hygiene question that previously got a flat, unhelpful hard block now gets a full, genuinely useful answer with only the model's own illustrative example values anonymized. Our binary scoring metric — did the guardrail intervene at all — can't see that improvement, because “helpfully sanitized” and “unhelpfully refused” both count identically as “intervened.” That's a real limitation of the current scoring model, not of the guardrail.</w:t>
      </w:r>
    </w:p>
    <w:p>
      <w:pPr>
        <w:spacing w:after="200"/>
        <w:jc w:val="left"/>
      </w:pPr>
      <w:r>
        <w:rPr>
          <w:b w:val="false"/>
          <w:bCs w:val="false"/>
          <w:i w:val="false"/>
          <w:iCs w:val="false"/>
        </w:rPr>
        <w:t xml:space="preserve">Taken together: AWS's category-matched, purpose-built guardrail configuration outperforms Azure's out-of-the-box behavior on Harmful Content, Enterprise Policy, and PII detection, at the direct and measurable cost of a higher over-blocking rate that can be partially, but not entirely, tuned away. The two platforms are statistically tied on Prompt Injection and close on Jailbreak. Neither platform's grounding-specific capabilities are meaningfully exercised by the current test design.</w:t>
      </w:r>
    </w:p>
    <w:p>
      <w:pPr>
        <w:pStyle w:val="Heading1"/>
        <w:spacing w:after="160" w:before="360"/>
      </w:pPr>
      <w:r>
        <w:t xml:space="preserve">The Prognosis</w:t>
      </w:r>
    </w:p>
    <w:p>
      <w:pPr>
        <w:spacing w:after="200"/>
        <w:jc w:val="left"/>
      </w:pPr>
      <w:r>
        <w:rPr>
          <w:b w:val="false"/>
          <w:bCs w:val="false"/>
          <w:i w:val="false"/>
          <w:iCs w:val="false"/>
        </w:rPr>
        <w:t xml:space="preserve">This first pass validated the core thesis: a rigorous, repeatable, vendor-neutral guardrails benchmark is buildable, and it surfaces real, actionable findings — not just for the platforms being compared, but for the benchmark's own methodology along the way.</w:t>
      </w:r>
    </w:p>
    <w:p>
      <w:pPr>
        <w:spacing w:after="200"/>
        <w:jc w:val="left"/>
      </w:pPr>
      <w:r>
        <w:rPr>
          <w:b w:val="false"/>
          <w:bCs w:val="false"/>
          <w:i w:val="false"/>
          <w:iCs w:val="false"/>
        </w:rPr>
        <w:t xml:space="preserve">The immediate roadmap:</w:t>
      </w:r>
    </w:p>
    <w:p>
      <w:pPr>
        <w:pStyle w:val="ListParagraph"/>
        <w:numPr>
          <w:ilvl w:val="0"/>
          <w:numId w:val="3"/>
        </w:numPr>
        <w:spacing w:after="100"/>
      </w:pPr>
      <w:r>
        <w:t xml:space="preserve">Scale the dataset from 200 prompts toward the original 500-prompt target for statistical confidence.</w:t>
      </w:r>
    </w:p>
    <w:p>
      <w:pPr>
        <w:pStyle w:val="ListParagraph"/>
        <w:numPr>
          <w:ilvl w:val="0"/>
          <w:numId w:val="3"/>
        </w:numPr>
        <w:spacing w:after="100"/>
      </w:pPr>
      <w:r>
        <w:t xml:space="preserve">Build live-indexed RAG (Azure AI Search, Bedrock Knowledge Bases) so Grounded RAG tests each platform's real grounding features.</w:t>
      </w:r>
    </w:p>
    <w:p>
      <w:pPr>
        <w:pStyle w:val="ListParagraph"/>
        <w:numPr>
          <w:ilvl w:val="0"/>
          <w:numId w:val="3"/>
        </w:numPr>
        <w:spacing w:after="100"/>
      </w:pPr>
      <w:r>
        <w:t xml:space="preserve">Upgrade the content judge, potentially with an LLM-judge pass for cases the deterministic regex approach can't reliably classify.</w:t>
      </w:r>
    </w:p>
    <w:p>
      <w:pPr>
        <w:pStyle w:val="ListParagraph"/>
        <w:numPr>
          <w:ilvl w:val="0"/>
          <w:numId w:val="3"/>
        </w:numPr>
        <w:spacing w:after="100"/>
      </w:pPr>
      <w:r>
        <w:t xml:space="preserve">Run for variance, not just a single pass — several numbers moved 5-10 points between runs on identical prompts due to ordinary LLM sampling variance.</w:t>
      </w:r>
    </w:p>
    <w:p>
      <w:pPr>
        <w:pStyle w:val="ListParagraph"/>
        <w:numPr>
          <w:ilvl w:val="0"/>
          <w:numId w:val="3"/>
        </w:numPr>
        <w:spacing w:after="100"/>
      </w:pPr>
      <w:r>
        <w:t xml:space="preserve">Add an analytics dashboard on top of the current markdown scorecards, and expand beyond two platforms as budget and access allow.</w:t>
      </w:r>
    </w:p>
    <w:p>
      <w:pPr>
        <w:spacing w:after="200"/>
        <w:jc w:val="left"/>
      </w:pPr>
      <w:r>
        <w:rPr>
          <w:b w:val="false"/>
          <w:bCs w:val="false"/>
          <w:i w:val="false"/>
          <w:iCs w:val="false"/>
        </w:rPr>
        <w:t xml:space="preserve">Longer term, this is designed to be the first of a family, not a one-off: the same orchestrator-runner-judge-scorer architecture generalizes directly to an AI Agent Security Benchmark, a RAG Quality Benchmark, an Enterprise AI Governance Benchmark, and other recurring evaluations RiskMantle is positioned to run annually as an independent authority on enterprise AI risk — the same role Stanford HELM and MLPerf play for model capability and performance benchmarking, applied to the safety and governance layer instead.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2026-08-04T16:58:58.132Z</dcterms:created>
  <dcterms:modified xsi:type="dcterms:W3CDTF">2026-08-04T16:58:58.133Z</dcterms:modified>
</cp:coreProperties>
</file>

<file path=docProps/custom.xml><?xml version="1.0" encoding="utf-8"?>
<Properties xmlns="http://schemas.openxmlformats.org/officeDocument/2006/custom-properties" xmlns:vt="http://schemas.openxmlformats.org/officeDocument/2006/docPropsVTypes"/>
</file>