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Mean Reversion Research Framework</w:t>
      </w:r>
    </w:p>
    <w:p>
      <w:r>
        <w:rPr>
          <w:b/>
        </w:rPr>
        <w:t>Research Journal v1.0.0</w:t>
        <w:br/>
      </w:r>
      <w:r>
        <w:t>Date: 9 July 2026</w:t>
        <w:br/>
        <w:br/>
      </w:r>
    </w:p>
    <w:p>
      <w:pPr>
        <w:pStyle w:val="Heading2"/>
      </w:pPr>
      <w:r>
        <w:t>Executive Summary</w:t>
      </w:r>
    </w:p>
    <w:p>
      <w:r>
        <w:t>This document consolidates the complete research history through cross-market validation. The project evolved from a gold mean-reversion strategy into a behavioral market research framework validated across Gold, EURUSD, BTC and preliminary NASDAQ.</w:t>
      </w:r>
    </w:p>
    <w:p>
      <w:pPr>
        <w:pStyle w:val="Heading2"/>
      </w:pPr>
      <w:r>
        <w:t>Research Timeline</w:t>
      </w:r>
    </w:p>
    <w:p>
      <w:r>
        <w:t>Started with baseline mean-reversion experiments, progressively tested adaptive exits, virtual recovery, multi-stage confirmation, controlled recovery, elastic exits, session robustness, time-to-reversion, yearly robustness, meta regimes, HTF alignment, recoil profiling, probe-confirm-scale, persistence filters, robustness expansion, walk-forward validation, Monte Carlo, real-trade Monte Carlo, cross-market validation, and infrastructure planning.</w:t>
      </w:r>
    </w:p>
    <w:p>
      <w:pPr>
        <w:pStyle w:val="Heading2"/>
      </w:pPr>
      <w:r>
        <w:t>Major Findings</w:t>
      </w:r>
    </w:p>
    <w:p>
      <w:r>
        <w:t>1. Quick snap exits outperformed runners.</w:t>
        <w:br/>
        <w:t>2. Recoil persistence is a powerful confirmation mechanism.</w:t>
        <w:br/>
        <w:t>3. Controlled recovery reduced drawdown.</w:t>
        <w:br/>
        <w:t>4. Walk-forward and Monte Carlo remained robust.</w:t>
        <w:br/>
        <w:t>5. Edge transferred successfully to EURUSD and BTC.</w:t>
        <w:br/>
        <w:t>6. NASDAQ results are promising but limited by dataset coverage (2021-05 to 2023-09).</w:t>
        <w:br/>
        <w:t>7. Strategy appears driven by behavioral panic/recoil rather than instrument-specific properties.</w:t>
      </w:r>
    </w:p>
    <w:p>
      <w:pPr>
        <w:pStyle w:val="Heading2"/>
      </w:pPr>
      <w:r>
        <w:t>Cross-Market Results</w:t>
      </w:r>
    </w:p>
    <w:p>
      <w:r>
        <w:t>Gold: Robust.</w:t>
        <w:br/>
        <w:t>EURUSD: 329 trades, PF≈4.5.</w:t>
        <w:br/>
        <w:t>BTC: 2665 trades, PF≈6.0.</w:t>
        <w:br/>
        <w:t>NASDAQ: 14 trades, PF≈2.37 (insufficient sample).</w:t>
      </w:r>
    </w:p>
    <w:p>
      <w:pPr>
        <w:pStyle w:val="Heading2"/>
      </w:pPr>
      <w:r>
        <w:t>Current Scientific Hypothesis</w:t>
      </w:r>
    </w:p>
    <w:p>
      <w:r>
        <w:t>Extreme short-term panic followed by recoil and persistence represents a transferable behavioral phenomenon across liquid markets. Markets differ primarily in normalization speed rather than the existence of the effect.</w:t>
      </w:r>
    </w:p>
    <w:p>
      <w:pPr>
        <w:pStyle w:val="Heading2"/>
      </w:pPr>
      <w:r>
        <w:t>Research Infrastructure v1</w:t>
      </w:r>
    </w:p>
    <w:p>
      <w:r>
        <w:t>Planned modules: Tick Validator, Universal Tick→M1 Converter, M1 Validator, Market DNA Profiler, Strategy Engine, Walk-Forward Engine, Monte Carlo Engine, Report Generator, Experiment Registry.</w:t>
      </w:r>
    </w:p>
    <w:p>
      <w:pPr>
        <w:pStyle w:val="Heading2"/>
      </w:pPr>
      <w:r>
        <w:t>Next Phase</w:t>
      </w:r>
    </w:p>
    <w:p>
      <w:r>
        <w:t>Pause strategy development. Build validation pipeline, validate historical datasets, complete NASDAQ history download, profile Market DNA for Gold, EURUSD, BTC, Silver and NASDAQ, then resume comparative research and publication preparation.</w:t>
      </w:r>
    </w:p>
    <w:p>
      <w:pPr>
        <w:pStyle w:val="Heading2"/>
      </w:pPr>
      <w:r>
        <w:t>Version History</w:t>
      </w:r>
    </w:p>
    <w:p>
      <w:r>
        <w:t>v1.0.0 - First consolidated research journal covering the complete work completed to 9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