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9BDE4" w14:textId="77777777" w:rsidR="006A3986" w:rsidRPr="006A3986" w:rsidRDefault="006A3986" w:rsidP="006A3986">
      <w:r w:rsidRPr="006A3986">
        <w:t>This is the conversation worth having. Let me give you my genuinely honest take — the good, the structural concerns, and what sustainable profitability actually requires. No diplomatic hedging.</w:t>
      </w:r>
    </w:p>
    <w:p w14:paraId="1F76CEA3" w14:textId="77777777" w:rsidR="006A3986" w:rsidRPr="006A3986" w:rsidRDefault="006A3986" w:rsidP="006A3986">
      <w:r w:rsidRPr="006A3986">
        <w:pict w14:anchorId="352FB529">
          <v:rect id="_x0000_i1055" style="width:0;height:1.5pt" o:hralign="center" o:hrstd="t" o:hr="t" fillcolor="#a0a0a0" stroked="f"/>
        </w:pict>
      </w:r>
    </w:p>
    <w:p w14:paraId="2BE211F7" w14:textId="77777777" w:rsidR="006A3986" w:rsidRPr="006A3986" w:rsidRDefault="006A3986" w:rsidP="006A3986">
      <w:pPr>
        <w:rPr>
          <w:b/>
          <w:bCs/>
        </w:rPr>
      </w:pPr>
      <w:r w:rsidRPr="006A3986">
        <w:rPr>
          <w:b/>
          <w:bCs/>
        </w:rPr>
        <w:t>What's Genuinely Good About This Architecture</w:t>
      </w:r>
    </w:p>
    <w:p w14:paraId="1AD806E7" w14:textId="77777777" w:rsidR="006A3986" w:rsidRPr="006A3986" w:rsidRDefault="006A3986" w:rsidP="006A3986">
      <w:r w:rsidRPr="006A3986">
        <w:rPr>
          <w:b/>
          <w:bCs/>
        </w:rPr>
        <w:t>The regime complementarity concept is correct and underappreciated.</w:t>
      </w:r>
    </w:p>
    <w:p w14:paraId="6C8D7B0C" w14:textId="77777777" w:rsidR="006A3986" w:rsidRPr="006A3986" w:rsidRDefault="006A3986" w:rsidP="006A3986">
      <w:r w:rsidRPr="006A3986">
        <w:t>Most retail algos run one strategy on one instrument and wonder why it stops working. You've built three strategies that activate in different market states and share intelligence. That's diversification at the strategy level, not just the instrument level. When the market is ranging, Ghost Grid is active and SuperTrend is sleeping. When trending, SuperTrend runs and Ghost Grid stands down. This is how institutional systems are designed. The fact that you arrived at this architecture through logical reasoning rather than copying a framework is significant.</w:t>
      </w:r>
    </w:p>
    <w:p w14:paraId="0AB65EDE" w14:textId="77777777" w:rsidR="006A3986" w:rsidRPr="006A3986" w:rsidRDefault="006A3986" w:rsidP="006A3986">
      <w:r w:rsidRPr="006A3986">
        <w:rPr>
          <w:b/>
          <w:bCs/>
        </w:rPr>
        <w:t>The engineering quality is genuinely production-grade.</w:t>
      </w:r>
    </w:p>
    <w:p w14:paraId="11622685" w14:textId="77777777" w:rsidR="006A3986" w:rsidRPr="006A3986" w:rsidRDefault="006A3986" w:rsidP="006A3986">
      <w:r w:rsidRPr="006A3986">
        <w:t>Thread-safe gateway, proper failover EA, bar-aware caching eliminating 59× redundant computations, gateway pattern enabling testability — most retail algo projects never get here. They run a while-loop in a script and wonder why it crashes. The architecture can survive what's coming: reconnects, broker rejections, slow ticks, overnight gaps. That's a meaningful foundation.</w:t>
      </w:r>
    </w:p>
    <w:p w14:paraId="7D6C74CF" w14:textId="77777777" w:rsidR="006A3986" w:rsidRPr="006A3986" w:rsidRDefault="006A3986" w:rsidP="006A3986">
      <w:r w:rsidRPr="006A3986">
        <w:rPr>
          <w:b/>
          <w:bCs/>
        </w:rPr>
        <w:t>The market-intelligence-first exit philosophy is the right direction.</w:t>
      </w:r>
    </w:p>
    <w:p w14:paraId="44CA27C1" w14:textId="77777777" w:rsidR="006A3986" w:rsidRPr="006A3986" w:rsidRDefault="006A3986" w:rsidP="006A3986">
      <w:r w:rsidRPr="006A3986">
        <w:t>When you said "every decision the unified bot takes must depend on market intelligence, not rigid R-thresholds" — that's the insight that separates serious systems from toys. R-multiples measure what happened. Market state tells you what's happening. The MES roadmap you articulated is where quantitative trading research is actually moving. You arrived at the right conclusion independently.</w:t>
      </w:r>
    </w:p>
    <w:p w14:paraId="1A63E903" w14:textId="77777777" w:rsidR="006A3986" w:rsidRPr="006A3986" w:rsidRDefault="006A3986" w:rsidP="006A3986">
      <w:r w:rsidRPr="006A3986">
        <w:rPr>
          <w:b/>
          <w:bCs/>
        </w:rPr>
        <w:t>Ghost Grid's virtual accumulation concept is genuinely novel at retail level.</w:t>
      </w:r>
    </w:p>
    <w:p w14:paraId="05EEE006" w14:textId="77777777" w:rsidR="006A3986" w:rsidRPr="006A3986" w:rsidRDefault="006A3986" w:rsidP="006A3986">
      <w:r w:rsidRPr="006A3986">
        <w:t>Running a ghost grid in memory, detecting the nth exhaustion layer, firing one real entry at the statistically derived reversion zone — this isn't a standard retail strategy. It has a testable hypothesis (204 vs 202 comparison), a falsifiable outcome, and a clear exit condition. The scientific rigor around that experiment is correct.</w:t>
      </w:r>
    </w:p>
    <w:p w14:paraId="3815080B" w14:textId="77777777" w:rsidR="006A3986" w:rsidRPr="006A3986" w:rsidRDefault="006A3986" w:rsidP="006A3986">
      <w:r w:rsidRPr="006A3986">
        <w:pict w14:anchorId="0245B134">
          <v:rect id="_x0000_i1056" style="width:0;height:1.5pt" o:hralign="center" o:hrstd="t" o:hr="t" fillcolor="#a0a0a0" stroked="f"/>
        </w:pict>
      </w:r>
    </w:p>
    <w:p w14:paraId="19E25AE0" w14:textId="77777777" w:rsidR="006A3986" w:rsidRPr="006A3986" w:rsidRDefault="006A3986" w:rsidP="006A3986">
      <w:pPr>
        <w:rPr>
          <w:b/>
          <w:bCs/>
        </w:rPr>
      </w:pPr>
      <w:r w:rsidRPr="006A3986">
        <w:rPr>
          <w:b/>
          <w:bCs/>
        </w:rPr>
        <w:t>My Structural Concerns — The Honest Ones</w:t>
      </w:r>
    </w:p>
    <w:p w14:paraId="1BC504CA" w14:textId="77777777" w:rsidR="006A3986" w:rsidRPr="006A3986" w:rsidRDefault="006A3986" w:rsidP="006A3986">
      <w:r w:rsidRPr="006A3986">
        <w:rPr>
          <w:b/>
          <w:bCs/>
        </w:rPr>
        <w:t>The Gold concentration risk is the biggest unaddressed problem.</w:t>
      </w:r>
    </w:p>
    <w:p w14:paraId="705582CF" w14:textId="77777777" w:rsidR="006A3986" w:rsidRPr="006A3986" w:rsidRDefault="006A3986" w:rsidP="006A3986">
      <w:r w:rsidRPr="006A3986">
        <w:lastRenderedPageBreak/>
        <w:t>Three bots, all primarily optimized and tested on XAUUSDm. The regime complementarity is real within Gold's market states, but all three bots are still correlated through the same macro drivers: USD strength, real yields, geopolitical risk premium, central bank demand. When those factors shift simultaneously — and they will — all three strategies may underperform at the same time. That's not diversification. That's three different approaches to the same underlying bet.</w:t>
      </w:r>
    </w:p>
    <w:p w14:paraId="1B883FB4" w14:textId="77777777" w:rsidR="006A3986" w:rsidRPr="006A3986" w:rsidRDefault="006A3986" w:rsidP="006A3986">
      <w:r w:rsidRPr="006A3986">
        <w:t>True strategic diversification requires instruments with genuinely different drivers. Crude oil and Gold don't move identically. USDJPY and EURUSD share USD exposure but have different volatility profiles. The bot-instrument fit matrix from Phase 2 should answer which bot fits which pair — but the answer might be that you need instruments beyond what's currently in config.json.</w:t>
      </w:r>
    </w:p>
    <w:p w14:paraId="5500A3A5" w14:textId="77777777" w:rsidR="006A3986" w:rsidRPr="006A3986" w:rsidRDefault="006A3986" w:rsidP="006A3986">
      <w:r w:rsidRPr="006A3986">
        <w:rPr>
          <w:b/>
          <w:bCs/>
        </w:rPr>
        <w:t>The ADX bug ran for an unknown period and contaminated real learning.</w:t>
      </w:r>
    </w:p>
    <w:p w14:paraId="1492E72E" w14:textId="77777777" w:rsidR="006A3986" w:rsidRPr="006A3986" w:rsidRDefault="006A3986" w:rsidP="006A3986">
      <w:r w:rsidRPr="006A3986">
        <w:t>The 14× ADX inflation was a fundamental corruption of the regime classifier, the conviction score, every gate decision, every REAPER/HARVESTER action. We fixed it, but we don't know how long it ran before discovery. All the intuitions built about "CAB doesn't seem to harvest often" or "the conviction gate feels too permissive" — those were formed against corrupted data. The 2-week run is effectively the first clean data. Treat everything before it as suspect.</w:t>
      </w:r>
    </w:p>
    <w:p w14:paraId="62BB9B50" w14:textId="77777777" w:rsidR="006A3986" w:rsidRPr="006A3986" w:rsidRDefault="006A3986" w:rsidP="006A3986">
      <w:r w:rsidRPr="006A3986">
        <w:rPr>
          <w:b/>
          <w:bCs/>
        </w:rPr>
        <w:t>The parameters were tuned against observed behavior, not validated out-of-sample.</w:t>
      </w:r>
    </w:p>
    <w:p w14:paraId="52423077" w14:textId="77777777" w:rsidR="006A3986" w:rsidRPr="006A3986" w:rsidRDefault="006A3986" w:rsidP="006A3986">
      <w:r w:rsidRPr="006A3986">
        <w:t>The REAPER at -0.5R, PROTECTOR at 1.2R, HARVESTER at 2.0R, SI weights of 0.40/0.25/0.20/0.15, conviction threshold at 0.65, n_layers=3 — these numbers came from logical reasoning and iterative adjustment against what the bot was doing in testing. That's not the same as walk-forward validation. Without an out-of-sample backtest showing the same parameters worked on data the system never saw, there's real overfitting risk. Not because the logic is wrong, but because the specific numbers could be curve-fit to recent Gold behavior.</w:t>
      </w:r>
    </w:p>
    <w:p w14:paraId="504A2E5B" w14:textId="77777777" w:rsidR="006A3986" w:rsidRPr="006A3986" w:rsidRDefault="006A3986" w:rsidP="006A3986">
      <w:r w:rsidRPr="006A3986">
        <w:rPr>
          <w:b/>
          <w:bCs/>
        </w:rPr>
        <w:t>Demo execution is cleaner than live execution in exactly the wrong moments.</w:t>
      </w:r>
    </w:p>
    <w:p w14:paraId="48E12CD4" w14:textId="77777777" w:rsidR="006A3986" w:rsidRPr="006A3986" w:rsidRDefault="006A3986" w:rsidP="006A3986">
      <w:r w:rsidRPr="006A3986">
        <w:t>The Ghost Grid's exhaustion detection fires when price has moved hard and fast — the nth virtual layer is deep into a momentum move. In live trading, that's precisely when spreads widen, execution slips 2-3 pips, and your SL placement relative to the nth layer price is immediately compromised. The 1.5% demo win rate improvement that makes the strategy positive-expectancy might not survive live execution costs. This is the hardest thing to know until you're live at micro-lots.</w:t>
      </w:r>
    </w:p>
    <w:p w14:paraId="01819DB5" w14:textId="77777777" w:rsidR="006A3986" w:rsidRPr="006A3986" w:rsidRDefault="006A3986" w:rsidP="006A3986">
      <w:r w:rsidRPr="006A3986">
        <w:pict w14:anchorId="46ABBA0F">
          <v:rect id="_x0000_i1057" style="width:0;height:1.5pt" o:hralign="center" o:hrstd="t" o:hr="t" fillcolor="#a0a0a0" stroked="f"/>
        </w:pict>
      </w:r>
    </w:p>
    <w:p w14:paraId="648BD050" w14:textId="77777777" w:rsidR="006A3986" w:rsidRPr="006A3986" w:rsidRDefault="006A3986" w:rsidP="006A3986">
      <w:pPr>
        <w:rPr>
          <w:b/>
          <w:bCs/>
        </w:rPr>
      </w:pPr>
      <w:r w:rsidRPr="006A3986">
        <w:rPr>
          <w:b/>
          <w:bCs/>
        </w:rPr>
        <w:t>What Sustainable Profitability Actually Requires</w:t>
      </w:r>
    </w:p>
    <w:p w14:paraId="62C389AB" w14:textId="77777777" w:rsidR="006A3986" w:rsidRPr="006A3986" w:rsidRDefault="006A3986" w:rsidP="006A3986">
      <w:r w:rsidRPr="006A3986">
        <w:lastRenderedPageBreak/>
        <w:t>Let me be direct about what the finish line actually looks like versus what most retail traders believe.</w:t>
      </w:r>
    </w:p>
    <w:p w14:paraId="02854D0D" w14:textId="77777777" w:rsidR="006A3986" w:rsidRPr="006A3986" w:rsidRDefault="006A3986" w:rsidP="006A3986">
      <w:r w:rsidRPr="006A3986">
        <w:rPr>
          <w:b/>
          <w:bCs/>
        </w:rPr>
        <w:t>Positive expectancy must be proven across regime changes, not just one market state.</w:t>
      </w:r>
    </w:p>
    <w:p w14:paraId="4EE99CBA" w14:textId="77777777" w:rsidR="006A3986" w:rsidRPr="006A3986" w:rsidRDefault="006A3986" w:rsidP="006A3986">
      <w:r w:rsidRPr="006A3986">
        <w:t>30-50 trades in 2-3 weeks is enough to see if the basic mechanics work. It's not enough to know if the edge persists. Gold has been in a multi-year bull trend driven by central bank accumulation, geopolitical premium, and dollar debasement fears. A mean-reversion strategy on Gold works differently in that environment than in a sideways or bearish Gold environment. You need to see performance across at least one full regime shift before trusting the edge.</w:t>
      </w:r>
    </w:p>
    <w:p w14:paraId="732E5D77" w14:textId="77777777" w:rsidR="006A3986" w:rsidRPr="006A3986" w:rsidRDefault="006A3986" w:rsidP="006A3986">
      <w:r w:rsidRPr="006A3986">
        <w:rPr>
          <w:b/>
          <w:bCs/>
        </w:rPr>
        <w:t>The spread-to-expectancy ratio must be positive at live sizing.</w:t>
      </w:r>
    </w:p>
    <w:p w14:paraId="54C4A387" w14:textId="77777777" w:rsidR="006A3986" w:rsidRPr="006A3986" w:rsidRDefault="006A3986" w:rsidP="006A3986">
      <w:r w:rsidRPr="006A3986">
        <w:t>At 0.01 lots on Gold with a 1.5-pip typical spread, each round-trip costs ~$0.30. If average trade duration is 4-8 hours across CAB's H4 inversions, that's manageable. But Ghost Grid fires multiple legs per probe — potentially 3-4 orders per probe plus individual closures. Each order is another $0.30. At live sizing (0.1-0.5 lots), this scales proportionally and becomes meaningful. The Phase 2 logs will show you trade frequency. Model the actual spread cost before scaling.</w:t>
      </w:r>
    </w:p>
    <w:p w14:paraId="16C25148" w14:textId="77777777" w:rsidR="006A3986" w:rsidRPr="006A3986" w:rsidRDefault="006A3986" w:rsidP="006A3986">
      <w:r w:rsidRPr="006A3986">
        <w:rPr>
          <w:b/>
          <w:bCs/>
        </w:rPr>
        <w:t>The system must run without your oversight to be sustainable.</w:t>
      </w:r>
    </w:p>
    <w:p w14:paraId="37B4E576" w14:textId="77777777" w:rsidR="006A3986" w:rsidRPr="006A3986" w:rsidRDefault="006A3986" w:rsidP="006A3986">
      <w:r w:rsidRPr="006A3986">
        <w:t>Right now you're the circuit breaker. You review logs, catch bugs, intervene when something looks wrong. A sustainable system runs unattended for weeks. The MQL5 failover, the circuit breaker, the log rotation — these are steps in that direction. But the log spam bug we just fixed would have crashed a VPS in 14 days without intervention. There will be other failure modes we haven't found yet. The 2-week run will reveal them. That's the entire point.</w:t>
      </w:r>
    </w:p>
    <w:p w14:paraId="31D3C373" w14:textId="77777777" w:rsidR="006A3986" w:rsidRPr="006A3986" w:rsidRDefault="006A3986" w:rsidP="006A3986">
      <w:r w:rsidRPr="006A3986">
        <w:pict w14:anchorId="450DA4B2">
          <v:rect id="_x0000_i1058" style="width:0;height:1.5pt" o:hralign="center" o:hrstd="t" o:hr="t" fillcolor="#a0a0a0" stroked="f"/>
        </w:pict>
      </w:r>
    </w:p>
    <w:p w14:paraId="23FDD59E" w14:textId="77777777" w:rsidR="006A3986" w:rsidRPr="006A3986" w:rsidRDefault="006A3986" w:rsidP="006A3986">
      <w:pPr>
        <w:rPr>
          <w:b/>
          <w:bCs/>
        </w:rPr>
      </w:pPr>
      <w:r w:rsidRPr="006A3986">
        <w:rPr>
          <w:b/>
          <w:bCs/>
        </w:rPr>
        <w:t>Where the Real Edge Might Actually Be</w:t>
      </w:r>
    </w:p>
    <w:p w14:paraId="5BF8C2C6" w14:textId="77777777" w:rsidR="006A3986" w:rsidRPr="006A3986" w:rsidRDefault="006A3986" w:rsidP="006A3986">
      <w:r w:rsidRPr="006A3986">
        <w:t>After all the analysis, here's my honest assessment of where the genuine edge lives in this system:</w:t>
      </w:r>
    </w:p>
    <w:p w14:paraId="7154FE7E" w14:textId="77777777" w:rsidR="006A3986" w:rsidRPr="006A3986" w:rsidRDefault="006A3986" w:rsidP="006A3986">
      <w:r w:rsidRPr="006A3986">
        <w:rPr>
          <w:b/>
          <w:bCs/>
        </w:rPr>
        <w:t>The Ghost Grid has the most defensible edge.</w:t>
      </w:r>
      <w:r w:rsidRPr="006A3986">
        <w:t xml:space="preserve"> Virtual accumulation against a probe, firing at an empirically-derived exhaustion zone, with a hard grid stop and no per-position reaper — this has logical backing that isn't easily arbitraged by other retail traders. Most retail bots don't run virtual grids. The 204 vs 202 experiment will be the most informative data from Phase 2.</w:t>
      </w:r>
    </w:p>
    <w:p w14:paraId="64B41C6F" w14:textId="77777777" w:rsidR="006A3986" w:rsidRPr="006A3986" w:rsidRDefault="006A3986" w:rsidP="006A3986">
      <w:r w:rsidRPr="006A3986">
        <w:rPr>
          <w:b/>
          <w:bCs/>
        </w:rPr>
        <w:t>SuperTrend's K-Means factor selection is the most differentiated feature.</w:t>
      </w:r>
      <w:r w:rsidRPr="006A3986">
        <w:t xml:space="preserve"> Fixed-factor SuperTrend implementations are everywhere and their edge is competed away. Adaptive factor selection based on clustered performance is genuinely harder to replicate and keeps the strategy relevant across changing volatility regimes.</w:t>
      </w:r>
    </w:p>
    <w:p w14:paraId="6CB3C77B" w14:textId="77777777" w:rsidR="006A3986" w:rsidRPr="006A3986" w:rsidRDefault="006A3986" w:rsidP="006A3986">
      <w:r w:rsidRPr="006A3986">
        <w:rPr>
          <w:b/>
          <w:bCs/>
        </w:rPr>
        <w:lastRenderedPageBreak/>
        <w:t>CAB's neural link (once implemented) will be the most important risk control.</w:t>
      </w:r>
      <w:r w:rsidRPr="006A3986">
        <w:t xml:space="preserve"> The H4 inversion pattern itself isn't novel — many people trade it. The differentiation is in the exit intelligence. A system that reads live market state to decide when a trade's thesis is dead, rather than waiting for a fixed R-threshold, is genuinely better risk management than what most retail systems use.</w:t>
      </w:r>
    </w:p>
    <w:p w14:paraId="47F8AEDF" w14:textId="77777777" w:rsidR="006A3986" w:rsidRPr="006A3986" w:rsidRDefault="006A3986" w:rsidP="006A3986">
      <w:r w:rsidRPr="006A3986">
        <w:pict w14:anchorId="377429F0">
          <v:rect id="_x0000_i1059" style="width:0;height:1.5pt" o:hralign="center" o:hrstd="t" o:hr="t" fillcolor="#a0a0a0" stroked="f"/>
        </w:pict>
      </w:r>
    </w:p>
    <w:p w14:paraId="2A597E26" w14:textId="77777777" w:rsidR="006A3986" w:rsidRPr="006A3986" w:rsidRDefault="006A3986" w:rsidP="006A3986">
      <w:pPr>
        <w:rPr>
          <w:b/>
          <w:bCs/>
        </w:rPr>
      </w:pPr>
      <w:r w:rsidRPr="006A3986">
        <w:rPr>
          <w:b/>
          <w:bCs/>
        </w:rPr>
        <w:t>My Honest Prediction</w:t>
      </w:r>
    </w:p>
    <w:p w14:paraId="4649492D" w14:textId="77777777" w:rsidR="006A3986" w:rsidRPr="006A3986" w:rsidRDefault="006A3986" w:rsidP="006A3986">
      <w:r w:rsidRPr="006A3986">
        <w:t>If the Phase 2 data shows positive expectancy across all three bots, the bot-instrument fit matrix gives you clear pairings, and live micro-lot testing at 50+ trades maintains that expectancy after spread costs — you have something real.</w:t>
      </w:r>
    </w:p>
    <w:p w14:paraId="0489273B" w14:textId="77777777" w:rsidR="006A3986" w:rsidRPr="006A3986" w:rsidRDefault="006A3986" w:rsidP="006A3986">
      <w:r w:rsidRPr="006A3986">
        <w:t>The more likely outcome is that one or two bot-instrument combinations show clear positive expectancy, one or two show marginal or negative expectancy, and you end up with a smaller but more focused system that runs the winning combinations only. That's not a failure. That's the correct scientific outcome. Most retail algos never get here because they never test the hypothesis rigorously.</w:t>
      </w:r>
    </w:p>
    <w:p w14:paraId="1CB2BAC8" w14:textId="77777777" w:rsidR="006A3986" w:rsidRPr="006A3986" w:rsidRDefault="006A3986" w:rsidP="006A3986">
      <w:r w:rsidRPr="006A3986">
        <w:t>The architecture is sound enough to carry whatever the data shows. The engineering can support it. The philosophy is correct.</w:t>
      </w:r>
    </w:p>
    <w:p w14:paraId="0FB454EA" w14:textId="77777777" w:rsidR="006A3986" w:rsidRPr="006A3986" w:rsidRDefault="006A3986" w:rsidP="006A3986">
      <w:r w:rsidRPr="006A3986">
        <w:t>Whether it becomes sustainably profitable depends entirely on what the next 6-12 months of data shows across different market conditions — not on any code change we can make in a session.</w:t>
      </w:r>
    </w:p>
    <w:p w14:paraId="142A48B6" w14:textId="77777777" w:rsidR="006A3986" w:rsidRPr="006A3986" w:rsidRDefault="006A3986" w:rsidP="006A3986">
      <w:r w:rsidRPr="006A3986">
        <w:t>That's the honest version.</w:t>
      </w:r>
    </w:p>
    <w:p w14:paraId="67752A14" w14:textId="77777777" w:rsidR="005848B3" w:rsidRDefault="005848B3"/>
    <w:sectPr w:rsidR="005848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E71"/>
    <w:rsid w:val="000C4E96"/>
    <w:rsid w:val="005848B3"/>
    <w:rsid w:val="006966FC"/>
    <w:rsid w:val="006A3986"/>
    <w:rsid w:val="00AC0429"/>
    <w:rsid w:val="00C6615C"/>
    <w:rsid w:val="00DC5E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935992-AC9A-4D54-89E6-ADE4D9587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5E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5E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5E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5E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5E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5E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E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E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E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E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5E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5E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5E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5E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5E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E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E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E71"/>
    <w:rPr>
      <w:rFonts w:eastAsiaTheme="majorEastAsia" w:cstheme="majorBidi"/>
      <w:color w:val="272727" w:themeColor="text1" w:themeTint="D8"/>
    </w:rPr>
  </w:style>
  <w:style w:type="paragraph" w:styleId="Title">
    <w:name w:val="Title"/>
    <w:basedOn w:val="Normal"/>
    <w:next w:val="Normal"/>
    <w:link w:val="TitleChar"/>
    <w:uiPriority w:val="10"/>
    <w:qFormat/>
    <w:rsid w:val="00DC5E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E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E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E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E71"/>
    <w:pPr>
      <w:spacing w:before="160"/>
      <w:jc w:val="center"/>
    </w:pPr>
    <w:rPr>
      <w:i/>
      <w:iCs/>
      <w:color w:val="404040" w:themeColor="text1" w:themeTint="BF"/>
    </w:rPr>
  </w:style>
  <w:style w:type="character" w:customStyle="1" w:styleId="QuoteChar">
    <w:name w:val="Quote Char"/>
    <w:basedOn w:val="DefaultParagraphFont"/>
    <w:link w:val="Quote"/>
    <w:uiPriority w:val="29"/>
    <w:rsid w:val="00DC5E71"/>
    <w:rPr>
      <w:i/>
      <w:iCs/>
      <w:color w:val="404040" w:themeColor="text1" w:themeTint="BF"/>
    </w:rPr>
  </w:style>
  <w:style w:type="paragraph" w:styleId="ListParagraph">
    <w:name w:val="List Paragraph"/>
    <w:basedOn w:val="Normal"/>
    <w:uiPriority w:val="34"/>
    <w:qFormat/>
    <w:rsid w:val="00DC5E71"/>
    <w:pPr>
      <w:ind w:left="720"/>
      <w:contextualSpacing/>
    </w:pPr>
  </w:style>
  <w:style w:type="character" w:styleId="IntenseEmphasis">
    <w:name w:val="Intense Emphasis"/>
    <w:basedOn w:val="DefaultParagraphFont"/>
    <w:uiPriority w:val="21"/>
    <w:qFormat/>
    <w:rsid w:val="00DC5E71"/>
    <w:rPr>
      <w:i/>
      <w:iCs/>
      <w:color w:val="2F5496" w:themeColor="accent1" w:themeShade="BF"/>
    </w:rPr>
  </w:style>
  <w:style w:type="paragraph" w:styleId="IntenseQuote">
    <w:name w:val="Intense Quote"/>
    <w:basedOn w:val="Normal"/>
    <w:next w:val="Normal"/>
    <w:link w:val="IntenseQuoteChar"/>
    <w:uiPriority w:val="30"/>
    <w:qFormat/>
    <w:rsid w:val="00DC5E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5E71"/>
    <w:rPr>
      <w:i/>
      <w:iCs/>
      <w:color w:val="2F5496" w:themeColor="accent1" w:themeShade="BF"/>
    </w:rPr>
  </w:style>
  <w:style w:type="character" w:styleId="IntenseReference">
    <w:name w:val="Intense Reference"/>
    <w:basedOn w:val="DefaultParagraphFont"/>
    <w:uiPriority w:val="32"/>
    <w:qFormat/>
    <w:rsid w:val="00DC5E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1318</Words>
  <Characters>7514</Characters>
  <Application>Microsoft Office Word</Application>
  <DocSecurity>0</DocSecurity>
  <Lines>62</Lines>
  <Paragraphs>17</Paragraphs>
  <ScaleCrop>false</ScaleCrop>
  <Company/>
  <LinksUpToDate>false</LinksUpToDate>
  <CharactersWithSpaces>8815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Jando balm</dc:creator>
  <cp:keywords/>
  <dc:description/>
  <cp:lastModifiedBy>Jando balm</cp:lastModifiedBy>
  <cp:revision>2</cp:revision>
  <dcterms:created xsi:type="dcterms:W3CDTF">2026-05-23T06:37:00Z</dcterms:created>
  <dcterms:modified xsi:type="dcterms:W3CDTF">2026-05-23T06:38:00Z</dcterms:modified>
</cp:coreProperties>
</file>