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1B365D"/>
          <w:sz w:val="44"/>
        </w:rPr>
        <w:t>Chapter 5 – Discussion</w:t>
      </w:r>
    </w:p>
    <w:p>
      <w:pPr>
        <w:pStyle w:val="Heading2"/>
        <w:spacing w:before="280" w:after="120"/>
      </w:pPr>
      <w:r>
        <w:rPr>
          <w:rFonts w:ascii="Calibri" w:hAnsi="Calibri"/>
          <w:b/>
          <w:color w:val="1B365D"/>
          <w:sz w:val="30"/>
        </w:rPr>
        <w:t>5.1 Introduction</w:t>
      </w:r>
    </w:p>
    <w:p>
      <w:r>
        <w:t>This chapter interprets the Chapter 4 findings against the study's research objectives and core research question. The discussion considers what observed prompt structure, example count, selection, ordering, efficiency, and reliability patterns mean for few-shot large language model evaluation, while carefully distinguishing measured effects from plausible theoretical explanations. The analysis positions findings against established literature on in-context learning, prompt sensitivity, example retrieval, and evaluation robustness. Bounded by the executed model–dataset matrix, all interpretations remain strictly evidence-bounded throughout this analytical discussion framework.</w:t>
      </w:r>
    </w:p>
    <w:p>
      <w:pPr>
        <w:pStyle w:val="Heading2"/>
        <w:spacing w:before="280" w:after="120"/>
      </w:pPr>
      <w:r>
        <w:rPr>
          <w:rFonts w:ascii="Calibri" w:hAnsi="Calibri"/>
          <w:b/>
          <w:color w:val="1B365D"/>
          <w:sz w:val="30"/>
        </w:rPr>
        <w:t>5.2 Prompt Structure and LLM Performance</w:t>
      </w:r>
    </w:p>
    <w:p>
      <w:r>
        <w:t>Prompt-structure results indicate that formulation mattered differently across the evaluated model–dataset pairs. On Rotten Tomatoes, Gemma 2 2B recorded 0.3750 mean accuracy with Instruction prompts, compared with 0.0750 for Example-Based and 0.1167 for Mixed prompts. Qwen 2.5 3B recorded 0.0000 for Instruction and Example-Based and 0.0167 for Mixed. The contrast within the same dataset shows that prompt structure cannot be treated as a universally beneficial intervention across models.</w:t>
      </w:r>
    </w:p>
    <w:p>
      <w:r>
        <w:t>For Gemma, the stronger Instruction result may reflect the value of explicit task specification for a clearly defined classification objective. Liu et al. (2023) describe prompting as a broad design space in which task instructions and demonstrations alter how a model is conditioned. However, the present experiment cannot establish that explicit instruction caused Gemma's higher score. Mixed prompting also did not improve performance.</w:t>
      </w:r>
    </w:p>
    <w:p>
      <w:r>
        <w:t>The Qwen results qualify this pattern. All three structures remained near zero on Rotten Tomatoes, indicating that structural changes did not recover strong performance for this model–task pairing. The aggregated Prompt Structure ANOVA was non-significant ($F(2, 89) = 1.363, p = 0.2678, \eta^2 = 0.0653$). This supports the need for multi-prompt evaluation highlighted by Mizrahi et al. (2024), because a single prompt should not represent general model capability.</w:t>
      </w:r>
    </w:p>
    <w:p>
      <w:r>
        <w:t>The findings are also consistent with Sclar et al. (2024) and Zhuo et al. (2024), who emphasise sensitivity to prompt formulation and evaluation conditions. This study adds a constrained observation: structural differences were visible within Gemma on one task, while Qwen showed almost no useful response across structures. The evidence supports model- and task-specific prompt evaluation. This distinction is important because structural sensitivity was not uniform across evaluated language model architectures.</w:t>
      </w:r>
    </w:p>
    <w:p>
      <w:pPr>
        <w:pStyle w:val="Heading2"/>
        <w:spacing w:before="280" w:after="120"/>
      </w:pPr>
      <w:r>
        <w:rPr>
          <w:rFonts w:ascii="Calibri" w:hAnsi="Calibri"/>
          <w:b/>
          <w:color w:val="1B365D"/>
          <w:sz w:val="30"/>
        </w:rPr>
        <w:t>5.3 Influence of Few-Shot Example Count</w:t>
      </w:r>
    </w:p>
    <w:p>
      <w:r>
        <w:t>Example-count results provide clear evidence against a simple "more demonstrations are better" assumption. DeepSeek R1 1.5B on DBPedia 14 increased from 0.0625 accuracy at 0-shot to 0.4107 at 1-shot, then declined to 0.3847 at 3-shot and 0.3500 at 5-shot. Gemma 2 2B on Rotten Tomatoes moved from 0.4000 to 0.4333, then fell to 0.1167 and recovered to 0.2000. Qwen remained at 0.0000 for 0-, 1- and 5-shot, with only 0.0167 at 3-shot.</w:t>
      </w:r>
    </w:p>
    <w:p>
      <w:r>
        <w:t>These trajectories suggest that demonstration quantity alone was insufficient to guarantee improvement. Min et al. (2022) argue that demonstrations matter through properties beyond their number, including the information they convey. That perspective is consistent with the present non-monotonic results. Additional examples may provide useful task information, but they also increase contextual material. The experiment did not independently manipulate quality, relevance or composition, so context interference and mismatch remain plausible interpretations rather than demonstrated causes.</w:t>
      </w:r>
    </w:p>
    <w:p>
      <w:r>
        <w:t>Model capacity offers a plausible interpretation, but it cannot be isolated because the models were not evaluated on a common dataset. The significant Model Family ANOVA ($F(2, 89) = 19.28, p = 1.11 \times 10^{-7}, \eta^2 = 0.3022$) establishes a model-family difference in the aggregated data, but the incomplete model–dataset matrix prevents attributing that effect solely to model capability. Compact model size may be relevant, but the evidence does not permit a parameter-scale explanation.</w:t>
      </w:r>
    </w:p>
    <w:p>
      <w:r>
        <w:t>The 1-shot peaks are informative: DeepSeek and Gemma both achieved their highest Example Count means at 1-shot, after which performance declined. This is consistent with Perez et al. (2021) and Song et al. (2023), which emphasise that few-shot effectiveness depends on supplied information rather than quantity alone. The non-significant Example Count ANOVA ($F(3, 88) = 1.597, p = 0.2013, \eta^2 = 0.0844$) reinforces a configuration-dependent interpretation. Increasing examples should therefore be validated rather than assumed beneficial across task evaluations conducted.</w:t>
      </w:r>
    </w:p>
    <w:p>
      <w:pPr>
        <w:pStyle w:val="Heading2"/>
        <w:spacing w:before="280" w:after="120"/>
      </w:pPr>
      <w:r>
        <w:rPr>
          <w:rFonts w:ascii="Calibri" w:hAnsi="Calibri"/>
          <w:b/>
          <w:color w:val="1B365D"/>
          <w:sz w:val="30"/>
        </w:rPr>
        <w:t>5.4 Example Selection and Ordering Sensitivity</w:t>
      </w:r>
    </w:p>
    <w:p>
      <w:r>
        <w:t>Example selection results show that demonstration identity mattered, but direction varied by model and dataset. DeepSeek on DBPedia 14 recorded 0.3847 accuracy with Random selection versus 0.2111 with Balanced. Gemma on Rotten Tomatoes showed the opposite pattern, with 0.1167 for Random and 0.1500 for Balanced. Qwen recorded 0.0167 for Random and 0.0000 for Balanced. These differences indicate that class balance alone cannot be assumed to improve few-shot performance.</w:t>
      </w:r>
    </w:p>
    <w:p>
      <w:r>
        <w:t>Sequential selection provides a methodological caution. DeepSeek's two scheduled Sequential runs failed because of unindexed vector embeddings, while Qwen had two completed Sequential runs at 0.1000 accuracy and two failures. The successful Qwen result therefore cannot establish superiority. Retrieval-oriented studies such as Rubin et al. (2022) and Wang et al. (2024) support selecting relevant demonstrations, but this experiment did not independently establish semantic relevance as the cause of observed differences. Selection quality and execution reliability remain intertwined across implementations in practice.</w:t>
      </w:r>
    </w:p>
    <w:p>
      <w:r>
        <w:t>Ordering was similarly configuration-dependent. DeepSeek achieved 0.3847 accuracy with Original, 0.4097 with Random and 0.3125 with Similarity. Qwen showed 0.0167, 0.0500 and 0.2500 respectively, while Gemma had only an executable Original result at 0.1167. This is consistent with Lu et al. (2022) on order sensitivity and Zhao et al. (2021) on positional and label-related biases.</w:t>
      </w:r>
    </w:p>
    <w:p>
      <w:r>
        <w:t>Similarity benefited Qwen, whereas Random benefited DeepSeek. The non-significant Ordering ANOVA ($F(2, 89) = 1.067, p = 0.3538, \eta^2 = 0.0519$) therefore supports configuration-specific sensitivity rather than a universal ordering rule. The result also reinforces Mizrahi et al. (2024) and Zhuo et al. (2024): evaluation conditions can materially shape measured model performance within benchmarked settings here.</w:t>
      </w:r>
    </w:p>
    <w:p>
      <w:pPr>
        <w:pStyle w:val="Heading2"/>
        <w:spacing w:before="280" w:after="120"/>
      </w:pPr>
      <w:r>
        <w:rPr>
          <w:rFonts w:ascii="Calibri" w:hAnsi="Calibri"/>
          <w:b/>
          <w:color w:val="1B365D"/>
          <w:sz w:val="30"/>
        </w:rPr>
        <w:t>5.5 Performance–Efficiency Trade-offs</w:t>
      </w:r>
    </w:p>
    <w:p>
      <w:r>
        <w:t>The efficiency findings show why accuracy alone is insufficient for deployment. Qwen 2.5 3B recorded the lowest overall mean latency at 913.3 ms on Rotten Tomatoes, Gemma 2 2B averaged 1377.0 ms on the same dataset, and DeepSeek R1 1.5B averaged 3342.0 ms on DBPedia 14. DeepSeek should not be directly speed-ranked against the Rotten Tomatoes models because task and dataset conditions differ. Gemma ranged from 1164.2 ms to 1932.3 ms, while Qwen ranged from 392.7 ms to 2604.2 ms.</w:t>
      </w:r>
    </w:p>
    <w:p>
      <w:r>
        <w:t>Latency did not correspond automatically to quality. Qwen had the lowest overall mean latency among the evaluated pairs but only 0.0421 mean accuracy and 0.0159 mean F1 on Rotten Tomatoes. DeepSeek recorded 3444.6 ms at 0-shot and 3437.8 ms at 1-shot, while Gemma averaged 444.5 total tokens, comprising 161.9 input and 282.6 output tokens. Token fields for DeepSeek and Qwen were unavailable, preventing complete token-efficiency comparison. This is consistent with Alizadeh et al. (2024) on inference efficiency.</w:t>
      </w:r>
    </w:p>
    <w:p>
      <w:r>
        <w:t>Deployment therefore requires a multi-objective choice involving accuracy, F1, latency, tokens and reliability. A faster configuration with poor prediction quality may have limited operational value, while a more accurate configuration with higher latency may be unsuitable for time-sensitive use. Because token evidence is incomplete, available measures should be considered jointly. Model-plus-prompt configuration is therefore a more appropriate deployment unit than model identity alone.</w:t>
      </w:r>
    </w:p>
    <w:p>
      <w:pPr>
        <w:pStyle w:val="Heading2"/>
        <w:spacing w:before="280" w:after="120"/>
      </w:pPr>
      <w:r>
        <w:rPr>
          <w:rFonts w:ascii="Calibri" w:hAnsi="Calibri"/>
          <w:b/>
          <w:color w:val="1B365D"/>
          <w:sz w:val="30"/>
        </w:rPr>
        <w:t>5.6 Reliability and Reproducibility</w:t>
      </w:r>
    </w:p>
    <w:p>
      <w:r>
        <w:t>Repeated-run evidence shows that consistency varied substantially across configurations. Gemma's 5-shot condition produced 0.5000 and 0.1000 accuracy across two runs, giving standard deviation 0.2828 and range 0.4000. DeepSeek's 1-shot condition produced 0.5714 and 0.2500, with standard deviation 0.2273 and range 0.3214. Despite $T=0.0$, these results show nominally identical configurations producing materially different outcomes across repeated execution runs.</w:t>
      </w:r>
    </w:p>
    <w:p>
      <w:r>
        <w:t>The reliability interpretation must remain separate from performance. A configuration with low variance can be consistently poor, and zero variance with zero accuracy would represent stable failure rather than successful reproducibility. This distinction is important because Qwen's overall Rotten Tomatoes accuracy was only 0.0421 despite its repeated-run evaluation. Reliability should therefore be considered jointly with score magnitude, not substituted for it.</w:t>
      </w:r>
    </w:p>
    <w:p>
      <w:r>
        <w:t>The study also recorded eight failed runs: four associated with unindexed vector embeddings in Sequential selection and four with provider timeouts. These failures matter because reproducibility also depends on stable execution dependencies. Siska et al. (2024) and Mizrahi et al. (2024) emphasise robust evaluation conditions overall. The present failures reinforce that reproducibility concerns extend beyond model outputs to retrieval and provider execution.</w:t>
      </w:r>
    </w:p>
    <w:p>
      <w:pPr>
        <w:pStyle w:val="Heading2"/>
        <w:spacing w:before="280" w:after="120"/>
      </w:pPr>
      <w:r>
        <w:rPr>
          <w:rFonts w:ascii="Calibri" w:hAnsi="Calibri"/>
          <w:b/>
          <w:color w:val="1B365D"/>
          <w:sz w:val="30"/>
        </w:rPr>
        <w:t>5.7 Comparison with Existing Literature</w:t>
      </w:r>
    </w:p>
    <w:p>
      <w:r>
        <w:t>Several findings support existing few-shot literature. The non-monotonic example-count trajectories are consistent with Min et al. (2022) and Perez et al. (2021), which challenge the assumption that demonstrations help simply because more are supplied. Ordering differences also agree with Lu et al. (2022) and Zhao et al. (2021), whose work identifies sensitivity to demonstration arrangement and prompt-induced biases. The present results reproduce these qualitative patterns under compact open-weight models, while showing that their magnitude differs by model and task.</w:t>
      </w:r>
    </w:p>
    <w:p>
      <w:r>
        <w:t>The study also qualifies broader generalisations. Prompt Structure, Example Count and Example Ordering were not statistically significant in the aggregated ANOVA, whereas Model Family and Dataset Task were significant. This is compatible with Mizrahi et al. (2024), Sclar et al. (2024) and Zhuo et al. (2024), which motivate broader evaluation. Wang et al. (2024) emphasise retrieving useful examples; here, selection effects were model- and dataset-dependent and partly constrained by execution failures. Combined performance, latency and repeated-run reporting therefore adds methodological evidence.</w:t>
      </w:r>
    </w:p>
    <w:p>
      <w:pPr>
        <w:spacing w:before="200" w:after="80"/>
      </w:pPr>
      <w:r>
        <w:rPr>
          <w:b/>
          <w:sz w:val="20"/>
        </w:rPr>
        <w:t>Table 5.1. Analytical Synthesis &amp; Discussion Matrix (Findings vs. Literature vs. Implications)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2340"/>
        <w:gridCol w:w="2340"/>
        <w:gridCol w:w="2340"/>
        <w:gridCol w:w="2340"/>
      </w:tblGrid>
      <w:tr>
        <w:tc>
          <w:tcPr>
            <w:tcW w:type="dxa" w:w="2340"/>
            <w:shd w:fill="1B365D"/>
            <w:tcMar>
              <w:top w:w="100" w:type="dxa"/>
              <w:bottom w:w="100" w:type="dxa"/>
              <w:left w:w="150" w:type="dxa"/>
              <w:right w:w="150" w:type="dxa"/>
            </w:tcMar>
          </w:tcPr>
          <w:p>
            <w:r>
              <w:rPr>
                <w:b/>
                <w:color w:val="FFFFFF"/>
                <w:sz w:val="19"/>
              </w:rPr>
              <w:t>Investigation Axis</w:t>
            </w:r>
          </w:p>
        </w:tc>
        <w:tc>
          <w:tcPr>
            <w:tcW w:type="dxa" w:w="2340"/>
            <w:shd w:fill="1B365D"/>
            <w:tcMar>
              <w:top w:w="100" w:type="dxa"/>
              <w:bottom w:w="100" w:type="dxa"/>
              <w:left w:w="150" w:type="dxa"/>
              <w:right w:w="150" w:type="dxa"/>
            </w:tcMar>
          </w:tcPr>
          <w:p>
            <w:r>
              <w:rPr>
                <w:b/>
                <w:color w:val="FFFFFF"/>
                <w:sz w:val="19"/>
              </w:rPr>
              <w:t>Empirical Finding (Run3)</w:t>
            </w:r>
          </w:p>
        </w:tc>
        <w:tc>
          <w:tcPr>
            <w:tcW w:type="dxa" w:w="2340"/>
            <w:shd w:fill="1B365D"/>
            <w:tcMar>
              <w:top w:w="100" w:type="dxa"/>
              <w:bottom w:w="100" w:type="dxa"/>
              <w:left w:w="150" w:type="dxa"/>
              <w:right w:w="150" w:type="dxa"/>
            </w:tcMar>
          </w:tcPr>
          <w:p>
            <w:r>
              <w:rPr>
                <w:b/>
                <w:color w:val="FFFFFF"/>
                <w:sz w:val="19"/>
              </w:rPr>
              <w:t>Theoretical Interpretation &amp; Literature Alignment</w:t>
            </w:r>
          </w:p>
        </w:tc>
        <w:tc>
          <w:tcPr>
            <w:tcW w:type="dxa" w:w="2340"/>
            <w:shd w:fill="1B365D"/>
            <w:tcMar>
              <w:top w:w="100" w:type="dxa"/>
              <w:bottom w:w="100" w:type="dxa"/>
              <w:left w:w="150" w:type="dxa"/>
              <w:right w:w="150" w:type="dxa"/>
            </w:tcMar>
          </w:tcPr>
          <w:p>
            <w:r>
              <w:rPr>
                <w:b/>
                <w:color w:val="FFFFFF"/>
                <w:sz w:val="19"/>
              </w:rPr>
              <w:t>Operational &amp; Research Implication</w:t>
            </w:r>
          </w:p>
        </w:tc>
      </w:tr>
      <w:tr>
        <w:tc>
          <w:tcPr>
            <w:tcW w:type="dxa" w:w="2340"/>
            <w:shd w:fill="F9FAFB"/>
            <w:tcMar>
              <w:top w:w="100" w:type="dxa"/>
              <w:bottom w:w="100" w:type="dxa"/>
              <w:left w:w="150" w:type="dxa"/>
              <w:right w:w="150" w:type="dxa"/>
            </w:tcMar>
          </w:tcPr>
          <w:p>
            <w:r>
              <w:rPr>
                <w:sz w:val="17"/>
              </w:rPr>
              <w:t>Prompt Structure</w:t>
            </w:r>
          </w:p>
        </w:tc>
        <w:tc>
          <w:tcPr>
            <w:tcW w:type="dxa" w:w="2340"/>
            <w:shd w:fill="F9FAFB"/>
            <w:tcMar>
              <w:top w:w="100" w:type="dxa"/>
              <w:bottom w:w="100" w:type="dxa"/>
              <w:left w:w="150" w:type="dxa"/>
              <w:right w:w="150" w:type="dxa"/>
            </w:tcMar>
          </w:tcPr>
          <w:p>
            <w:r>
              <w:rPr>
                <w:sz w:val="17"/>
              </w:rPr>
              <w:t>Instruction prompts achieved peak mean accuracy (0.3750) for Gemma, while Qwen remained near zero across structures (ANOVA p=0.2678).</w:t>
            </w:r>
          </w:p>
        </w:tc>
        <w:tc>
          <w:tcPr>
            <w:tcW w:type="dxa" w:w="2340"/>
            <w:shd w:fill="F9FAFB"/>
            <w:tcMar>
              <w:top w:w="100" w:type="dxa"/>
              <w:bottom w:w="100" w:type="dxa"/>
              <w:left w:w="150" w:type="dxa"/>
              <w:right w:w="150" w:type="dxa"/>
            </w:tcMar>
          </w:tcPr>
          <w:p>
            <w:r>
              <w:rPr>
                <w:sz w:val="17"/>
              </w:rPr>
              <w:t>Explicit instructions condition task constraints effectively for capable models (Liu et al., 2023), but structural sensitivity is not uniform (Mizrahi et al., 2024).</w:t>
            </w:r>
          </w:p>
        </w:tc>
        <w:tc>
          <w:tcPr>
            <w:tcW w:type="dxa" w:w="2340"/>
            <w:shd w:fill="F9FAFB"/>
            <w:tcMar>
              <w:top w:w="100" w:type="dxa"/>
              <w:bottom w:w="100" w:type="dxa"/>
              <w:left w:w="150" w:type="dxa"/>
              <w:right w:w="150" w:type="dxa"/>
            </w:tcMar>
          </w:tcPr>
          <w:p>
            <w:r>
              <w:rPr>
                <w:sz w:val="17"/>
              </w:rPr>
              <w:t>Prompt structure must be treated as an experimental variable; test multiple formulations rather than assuming universal structure benefits.</w:t>
            </w:r>
          </w:p>
        </w:tc>
      </w:tr>
      <w:tr>
        <w:tc>
          <w:tcPr>
            <w:tcW w:type="dxa" w:w="2340"/>
            <w:shd w:fill="FFFFFF"/>
            <w:tcMar>
              <w:top w:w="100" w:type="dxa"/>
              <w:bottom w:w="100" w:type="dxa"/>
              <w:left w:w="150" w:type="dxa"/>
              <w:right w:w="150" w:type="dxa"/>
            </w:tcMar>
          </w:tcPr>
          <w:p>
            <w:r>
              <w:rPr>
                <w:sz w:val="17"/>
              </w:rPr>
              <w:t>Example Count</w:t>
            </w:r>
          </w:p>
        </w:tc>
        <w:tc>
          <w:tcPr>
            <w:tcW w:type="dxa" w:w="2340"/>
            <w:shd w:fill="FFFFFF"/>
            <w:tcMar>
              <w:top w:w="100" w:type="dxa"/>
              <w:bottom w:w="100" w:type="dxa"/>
              <w:left w:w="150" w:type="dxa"/>
              <w:right w:w="150" w:type="dxa"/>
            </w:tcMar>
          </w:tcPr>
          <w:p>
            <w:r>
              <w:rPr>
                <w:sz w:val="17"/>
              </w:rPr>
              <w:t>Non-monotonic trajectories: DeepSeek (0.4107 at 1-shot) &amp; Gemma (0.4333 at 1-shot) peaked at 1-shot and declined at 3/5-shot (ANOVA p=0.2013).</w:t>
            </w:r>
          </w:p>
        </w:tc>
        <w:tc>
          <w:tcPr>
            <w:tcW w:type="dxa" w:w="2340"/>
            <w:shd w:fill="FFFFFF"/>
            <w:tcMar>
              <w:top w:w="100" w:type="dxa"/>
              <w:bottom w:w="100" w:type="dxa"/>
              <w:left w:w="150" w:type="dxa"/>
              <w:right w:w="150" w:type="dxa"/>
            </w:tcMar>
          </w:tcPr>
          <w:p>
            <w:r>
              <w:rPr>
                <w:sz w:val="17"/>
              </w:rPr>
              <w:t>Demonstrations inform through content rather than quantity alone (Min et al., 2022). Extra exemplars introduce context noise (Perez et al., 2021).</w:t>
            </w:r>
          </w:p>
        </w:tc>
        <w:tc>
          <w:tcPr>
            <w:tcW w:type="dxa" w:w="2340"/>
            <w:shd w:fill="FFFFFF"/>
            <w:tcMar>
              <w:top w:w="100" w:type="dxa"/>
              <w:bottom w:w="100" w:type="dxa"/>
              <w:left w:w="150" w:type="dxa"/>
              <w:right w:w="150" w:type="dxa"/>
            </w:tcMar>
          </w:tcPr>
          <w:p>
            <w:r>
              <w:rPr>
                <w:sz w:val="17"/>
              </w:rPr>
              <w:t>Adding exemplars requires empirical validation; default 3-shot or 5-shot configurations can degrade accuracy relative to 1-shot.</w:t>
            </w:r>
          </w:p>
        </w:tc>
      </w:tr>
      <w:tr>
        <w:tc>
          <w:tcPr>
            <w:tcW w:type="dxa" w:w="2340"/>
            <w:shd w:fill="F9FAFB"/>
            <w:tcMar>
              <w:top w:w="100" w:type="dxa"/>
              <w:bottom w:w="100" w:type="dxa"/>
              <w:left w:w="150" w:type="dxa"/>
              <w:right w:w="150" w:type="dxa"/>
            </w:tcMar>
          </w:tcPr>
          <w:p>
            <w:r>
              <w:rPr>
                <w:sz w:val="17"/>
              </w:rPr>
              <w:t>Selection &amp; Ordering</w:t>
            </w:r>
          </w:p>
        </w:tc>
        <w:tc>
          <w:tcPr>
            <w:tcW w:type="dxa" w:w="2340"/>
            <w:shd w:fill="F9FAFB"/>
            <w:tcMar>
              <w:top w:w="100" w:type="dxa"/>
              <w:bottom w:w="100" w:type="dxa"/>
              <w:left w:w="150" w:type="dxa"/>
              <w:right w:w="150" w:type="dxa"/>
            </w:tcMar>
          </w:tcPr>
          <w:p>
            <w:r>
              <w:rPr>
                <w:sz w:val="17"/>
              </w:rPr>
              <w:t>DeepSeek favored Random selection (0.3847) &amp; Random order (0.4097); Qwen favored Similarity order (0.2500). Sequential selection failed in 4 runs.</w:t>
            </w:r>
          </w:p>
        </w:tc>
        <w:tc>
          <w:tcPr>
            <w:tcW w:type="dxa" w:w="2340"/>
            <w:shd w:fill="F9FAFB"/>
            <w:tcMar>
              <w:top w:w="100" w:type="dxa"/>
              <w:bottom w:w="100" w:type="dxa"/>
              <w:left w:w="150" w:type="dxa"/>
              <w:right w:w="150" w:type="dxa"/>
            </w:tcMar>
          </w:tcPr>
          <w:p>
            <w:r>
              <w:rPr>
                <w:sz w:val="17"/>
              </w:rPr>
              <w:t>Demonstration order induces attention biases (Lu et al., 2022; Zhao et al., 2021). Selection effects depend on vector retrieval pipeline health (Wang et al., 2024).</w:t>
            </w:r>
          </w:p>
        </w:tc>
        <w:tc>
          <w:tcPr>
            <w:tcW w:type="dxa" w:w="2340"/>
            <w:shd w:fill="F9FAFB"/>
            <w:tcMar>
              <w:top w:w="100" w:type="dxa"/>
              <w:bottom w:w="100" w:type="dxa"/>
              <w:left w:w="150" w:type="dxa"/>
              <w:right w:w="150" w:type="dxa"/>
            </w:tcMar>
          </w:tcPr>
          <w:p>
            <w:r>
              <w:rPr>
                <w:sz w:val="17"/>
              </w:rPr>
              <w:t>Treat model + selection/ordering strategy as a combined deployment unit. Audit retrieval vector pipelines to prevent execution failures.</w:t>
            </w:r>
          </w:p>
        </w:tc>
      </w:tr>
      <w:tr>
        <w:tc>
          <w:tcPr>
            <w:tcW w:type="dxa" w:w="2340"/>
            <w:shd w:fill="FFFFFF"/>
            <w:tcMar>
              <w:top w:w="100" w:type="dxa"/>
              <w:bottom w:w="100" w:type="dxa"/>
              <w:left w:w="150" w:type="dxa"/>
              <w:right w:w="150" w:type="dxa"/>
            </w:tcMar>
          </w:tcPr>
          <w:p>
            <w:r>
              <w:rPr>
                <w:sz w:val="17"/>
              </w:rPr>
              <w:t>Efficiency &amp; Reliability</w:t>
            </w:r>
          </w:p>
        </w:tc>
        <w:tc>
          <w:tcPr>
            <w:tcW w:type="dxa" w:w="2340"/>
            <w:shd w:fill="FFFFFF"/>
            <w:tcMar>
              <w:top w:w="100" w:type="dxa"/>
              <w:bottom w:w="100" w:type="dxa"/>
              <w:left w:w="150" w:type="dxa"/>
              <w:right w:w="150" w:type="dxa"/>
            </w:tcMar>
          </w:tcPr>
          <w:p>
            <w:r>
              <w:rPr>
                <w:sz w:val="17"/>
              </w:rPr>
              <w:t>Qwen fastest (913.3 ms), DeepSeek slowest (3342.0 ms). Gemma 5-shot SD=0.2828. Exactly 8 execution failures logged.</w:t>
            </w:r>
          </w:p>
        </w:tc>
        <w:tc>
          <w:tcPr>
            <w:tcW w:type="dxa" w:w="2340"/>
            <w:shd w:fill="FFFFFF"/>
            <w:tcMar>
              <w:top w:w="100" w:type="dxa"/>
              <w:bottom w:w="100" w:type="dxa"/>
              <w:left w:w="150" w:type="dxa"/>
              <w:right w:w="150" w:type="dxa"/>
            </w:tcMar>
          </w:tcPr>
          <w:p>
            <w:r>
              <w:rPr>
                <w:sz w:val="17"/>
              </w:rPr>
              <w:t>Inference latency trade-offs are crucial (Alizadeh et al., 2024). Nominal T=0.0 zero-temperature sampling exhibits output variance (Siska et al., 2024).</w:t>
            </w:r>
          </w:p>
        </w:tc>
        <w:tc>
          <w:tcPr>
            <w:tcW w:type="dxa" w:w="2340"/>
            <w:shd w:fill="FFFFFF"/>
            <w:tcMar>
              <w:top w:w="100" w:type="dxa"/>
              <w:bottom w:w="100" w:type="dxa"/>
              <w:left w:w="150" w:type="dxa"/>
              <w:right w:w="150" w:type="dxa"/>
            </w:tcMar>
          </w:tcPr>
          <w:p>
            <w:r>
              <w:rPr>
                <w:sz w:val="17"/>
              </w:rPr>
              <w:t>Fast latency cannot offset near-zero accuracy. Low variance does not equal high performance. Multi-objective evaluation is mandatory.</w:t>
            </w:r>
          </w:p>
        </w:tc>
      </w:tr>
    </w:tbl>
    <w:p>
      <w:pPr>
        <w:pStyle w:val="Heading2"/>
        <w:spacing w:before="280" w:after="120"/>
      </w:pPr>
      <w:r>
        <w:rPr>
          <w:rFonts w:ascii="Calibri" w:hAnsi="Calibri"/>
          <w:b/>
          <w:color w:val="1B365D"/>
          <w:sz w:val="30"/>
        </w:rPr>
        <w:t>5.8 Implications of the Findings</w:t>
      </w:r>
    </w:p>
    <w:p>
      <w:r>
        <w:t>Prompt configuration should be treated as an experimental variable rather than a fixed preprocessing choice in experimental research. Observed differences across structures, counts, selection and ordering show that evaluation can change while the model remains constant. Future studies should therefore report the prompt configuration explicitly and test more than one configuration before attributing performance to the model itself.</w:t>
      </w:r>
    </w:p>
    <w:p>
      <w:r>
        <w:t>The practical implication is configuration-focused. Developers should evaluate multiple prompts, test example counts, examine selection and ordering, measure latency and tokens, and repeat evaluations. The Rotten Tomatoes results show why choosing an LLM alone is insufficient: Gemma and Qwen were evaluated on the same dataset but produced markedly different overall outcomes, while configuration-level variation remained visible within each model. Deployment should consequently treat the model and prompt as a combined operational configuration.</w:t>
      </w:r>
    </w:p>
    <w:p>
      <w:pPr>
        <w:pStyle w:val="Heading2"/>
        <w:spacing w:before="280" w:after="120"/>
      </w:pPr>
      <w:r>
        <w:rPr>
          <w:rFonts w:ascii="Calibri" w:hAnsi="Calibri"/>
          <w:b/>
          <w:color w:val="1B365D"/>
          <w:sz w:val="30"/>
        </w:rPr>
        <w:t>5.9 Limitations of the Study</w:t>
      </w:r>
    </w:p>
    <w:p>
      <w:r>
        <w:t>Several limitations constrain validity and generalisability. The model–dataset matrix is incomplete: DeepSeek R1 1.5B was evaluated on DBPedia 14, while Gemma 2 2B and Qwen 2.5 3B were evaluated on Rotten Tomatoes, and BoolQ produced no executed results. The experiment therefore cannot support a universal ranking of all three models. Evaluating compact 1.5B–3B models across limited classification tasks further restricts broader generalisation across capabilities.</w:t>
      </w:r>
    </w:p>
    <w:p>
      <w:r>
        <w:t>Token measurements were incomplete, with data available for Gemma but not DeepSeek or Qwen. Eight runs failed because of vector-indexing and provider-timeout problems, while repeated configurations generally relied on two runs. Aggregate ANOVA evidence, incomplete coverage, failed runs, and limited repetitions constrain reliability and external validity. Crucially, the incomplete model $\times$ dataset matrix prevents separating model capability from dataset effects or establishing a universal model ranking.</w:t>
      </w:r>
    </w:p>
    <w:p>
      <w:pPr>
        <w:pStyle w:val="Heading2"/>
        <w:spacing w:before="280" w:after="120"/>
      </w:pPr>
      <w:r>
        <w:rPr>
          <w:rFonts w:ascii="Calibri" w:hAnsi="Calibri"/>
          <w:b/>
          <w:color w:val="1B365D"/>
          <w:sz w:val="30"/>
        </w:rPr>
        <w:t>5.10 Discussion Summary</w:t>
      </w:r>
    </w:p>
    <w:p>
      <w:r>
        <w:t>Overall, the discussion indicates that few-shot performance was configuration-dependent rather than governed by example quantity or one universally effective prompt. Prompt structure, count, selection, and ordering produced varied outcomes across tested pairs, while model and task effects dominated aggregate analysis. Efficiency and reliability also varied. These findings support evaluating model–prompt configurations under repeated, task-matched conditions, with conclusions strictly bounded by the incomplete experimental matrix, leading directly to Chapter 6 conclusions.</w:t>
      </w:r>
    </w:p>
    <w:p>
      <w:pPr>
        <w:pStyle w:val="Heading2"/>
        <w:spacing w:before="360" w:after="120"/>
      </w:pPr>
      <w:r>
        <w:rPr>
          <w:rFonts w:ascii="Calibri" w:hAnsi="Calibri"/>
          <w:b/>
          <w:color w:val="1B365D"/>
          <w:sz w:val="30"/>
        </w:rPr>
        <w:t>References</w:t>
      </w:r>
    </w:p>
    <w:p>
      <w:pPr>
        <w:spacing w:after="120"/>
        <w:ind w:left="720" w:hanging="720"/>
      </w:pPr>
      <w:r>
        <w:rPr>
          <w:sz w:val="20"/>
        </w:rPr>
        <w:t>Alizadeh, K., Mirzadeh, S.I., Belenko, D., Khatamifard, S., Cho, M., Del Mundo, C.C., Rastegari, M. and Farajtabar, M. (2024) ‘LLM in a flash: Efficient large language model inference with limited memory’, Proceedings of the 62nd Annual Meeting of the Association for Computational Linguistics (Volume 1: Long Papers), pp. 12562–12584. doi: 10.18653/v1/2024.acl-long.678.</w:t>
      </w:r>
    </w:p>
    <w:p>
      <w:pPr>
        <w:spacing w:after="120"/>
        <w:ind w:left="720" w:hanging="720"/>
      </w:pPr>
      <w:r>
        <w:rPr>
          <w:sz w:val="20"/>
        </w:rPr>
        <w:t>Bommasani, R. et al. (2021) ‘On the opportunities and risks of foundation models’, arXiv preprint, arXiv:2108.07258.</w:t>
      </w:r>
    </w:p>
    <w:p>
      <w:pPr>
        <w:spacing w:after="120"/>
        <w:ind w:left="720" w:hanging="720"/>
      </w:pPr>
      <w:r>
        <w:rPr>
          <w:sz w:val="20"/>
        </w:rPr>
        <w:t>Brown, T.B. et al. (2020) ‘Language models are few-shot learners’, Advances in Neural Information Processing Systems, 33, pp. 1877–1901.</w:t>
      </w:r>
    </w:p>
    <w:p>
      <w:pPr>
        <w:spacing w:after="120"/>
        <w:ind w:left="720" w:hanging="720"/>
      </w:pPr>
      <w:r>
        <w:rPr>
          <w:sz w:val="20"/>
        </w:rPr>
        <w:t>Cahyawijaya, S., Lovenia, H. and Fung, P. (2024) ‘LLMs are few-shot in-context low-resource language learners’, Proceedings of the 2024 Conference of the North American Chapter of the Association for Computational Linguistics: Human Language Technologies (Volume 1: Long Papers), pp. 405–433. doi: 10.18653/v1/2024.naacl-long.24.</w:t>
      </w:r>
    </w:p>
    <w:p>
      <w:pPr>
        <w:spacing w:after="120"/>
        <w:ind w:left="720" w:hanging="720"/>
      </w:pPr>
      <w:r>
        <w:rPr>
          <w:sz w:val="20"/>
        </w:rPr>
        <w:t>Chang, Y. et al. (2024) ‘A survey on evaluation of large language models’, ACM Transactions on Intelligent Systems and Technology, 15(3), Article 39, pp. 1–45. doi: 10.1145/3641289.</w:t>
      </w:r>
    </w:p>
    <w:p>
      <w:pPr>
        <w:spacing w:after="120"/>
        <w:ind w:left="720" w:hanging="720"/>
      </w:pPr>
      <w:r>
        <w:rPr>
          <w:sz w:val="20"/>
        </w:rPr>
        <w:t>Hoffmann, J. et al. (2022) ‘Training compute-optimal large language models’, Advances in Neural Information Processing Systems, 35, pp. 30016–30030.</w:t>
      </w:r>
    </w:p>
    <w:p>
      <w:pPr>
        <w:spacing w:after="120"/>
        <w:ind w:left="720" w:hanging="720"/>
      </w:pPr>
      <w:r>
        <w:rPr>
          <w:sz w:val="20"/>
        </w:rPr>
        <w:t>Jiang, A.Q. et al. (2023) ‘Mistral 7B’, arXiv preprint, arXiv:2310.06825.</w:t>
      </w:r>
    </w:p>
    <w:p>
      <w:pPr>
        <w:spacing w:after="120"/>
        <w:ind w:left="720" w:hanging="720"/>
      </w:pPr>
      <w:r>
        <w:rPr>
          <w:sz w:val="20"/>
        </w:rPr>
        <w:t>Kaplan, J., McCandlish, S., Henighan, T., Brown, T.B., Chess, B., Child, R., Gray, S., Radford, A., Wu, J. and Amodei, D. (2020) ‘Scaling laws for neural language models’, arXiv preprint, arXiv:2001.08361.</w:t>
      </w:r>
    </w:p>
    <w:p>
      <w:pPr>
        <w:spacing w:after="120"/>
        <w:ind w:left="720" w:hanging="720"/>
      </w:pPr>
      <w:r>
        <w:rPr>
          <w:sz w:val="20"/>
        </w:rPr>
        <w:t>Liang, P. et al. (2023) ‘Holistic evaluation of language models’, Transactions on Machine Learning Research.</w:t>
      </w:r>
    </w:p>
    <w:p>
      <w:pPr>
        <w:spacing w:after="120"/>
        <w:ind w:left="720" w:hanging="720"/>
      </w:pPr>
      <w:r>
        <w:rPr>
          <w:sz w:val="20"/>
        </w:rPr>
        <w:t>Liu, P., Yuan, W., Fu, J., Jiang, Z., Hayashi, H. and Neubig, G. (2023) ‘Pre-train, prompt, and predict: A systematic survey of prompting methods in natural language processing’, ACM Computing Surveys, 55(9), Article 195, pp. 1–35. doi: 10.1145/3560815.</w:t>
      </w:r>
    </w:p>
    <w:p>
      <w:pPr>
        <w:spacing w:after="120"/>
        <w:ind w:left="720" w:hanging="720"/>
      </w:pPr>
      <w:r>
        <w:rPr>
          <w:sz w:val="20"/>
        </w:rPr>
        <w:t>Lu, Y., Bartolo, M., Moore, A., Riedel, S. and Stenetorp, P. (2022) ‘Fantastically ordered prompts and where to find them: Overcoming few-shot prompt order sensitivity’, Proceedings of the 60th Annual Meeting of the Association for Computational Linguistics (Volume 1: Long Papers), pp. 8086–8098. doi: 10.18653/v1/2022.acl-long.556.</w:t>
      </w:r>
    </w:p>
    <w:p>
      <w:pPr>
        <w:spacing w:after="120"/>
        <w:ind w:left="720" w:hanging="720"/>
      </w:pPr>
      <w:r>
        <w:rPr>
          <w:sz w:val="20"/>
        </w:rPr>
        <w:t>Min, S., Lyu, X., Holtzman, A., Artetxe, M., Lewis, M., Hajishirzi, H. and Zettlemoyer, L. (2022) ‘Rethinking the role of demonstrations: What makes in-context learning work?’, Proceedings of the 2022 Conference on Empirical Methods in Natural Language Processing, pp. 11048–11064. doi: 10.18653/v1/2022.emnlp-main.759.</w:t>
      </w:r>
    </w:p>
    <w:p>
      <w:pPr>
        <w:spacing w:after="120"/>
        <w:ind w:left="720" w:hanging="720"/>
      </w:pPr>
      <w:r>
        <w:rPr>
          <w:sz w:val="20"/>
        </w:rPr>
        <w:t>Mizrahi, M., Kaplan, G., Malkin, D., Dror, R., Shahaf, D. and Stanovsky, G. (2024) ‘State of what art? A call for multi-prompt LLM evaluation’, Transactions of the Association for Computational Linguistics, 12, pp. 933–949. doi: 10.1162/tacl_a_00681.</w:t>
      </w:r>
    </w:p>
    <w:p>
      <w:pPr>
        <w:spacing w:after="120"/>
        <w:ind w:left="720" w:hanging="720"/>
      </w:pPr>
      <w:r>
        <w:rPr>
          <w:sz w:val="20"/>
        </w:rPr>
        <w:t>OpenAI (2023) ‘GPT-4 Technical Report’, arXiv preprint, arXiv:2303.08774.</w:t>
      </w:r>
    </w:p>
    <w:p>
      <w:pPr>
        <w:spacing w:after="120"/>
        <w:ind w:left="720" w:hanging="720"/>
      </w:pPr>
      <w:r>
        <w:rPr>
          <w:sz w:val="20"/>
        </w:rPr>
        <w:t>Perez, E., Kiela, D. and Cho, K. (2021) ‘True few-shot learning with language models’, Advances in Neural Information Processing Systems, 34, pp. 11054–11070.</w:t>
      </w:r>
    </w:p>
    <w:p>
      <w:pPr>
        <w:spacing w:after="120"/>
        <w:ind w:left="720" w:hanging="720"/>
      </w:pPr>
      <w:r>
        <w:rPr>
          <w:sz w:val="20"/>
        </w:rPr>
        <w:t>Raina, V., Liusie, A. and Gales, M. (2024) ‘Is LLM-as-a-judge robust? Investigating universal adversarial attacks on zero-shot LLM assessment’, Proceedings of the 2024 Conference on Empirical Methods in Natural Language Processing, pp. 7499–7517. doi: 10.18653/v1/2024.emnlp-main.427.</w:t>
      </w:r>
    </w:p>
    <w:p>
      <w:pPr>
        <w:spacing w:after="120"/>
        <w:ind w:left="720" w:hanging="720"/>
      </w:pPr>
      <w:r>
        <w:rPr>
          <w:sz w:val="20"/>
        </w:rPr>
        <w:t>Rubin, O., Herzig, J. and Berant, J. (2022) ‘Learning to retrieve prompts for in-context learning’, Proceedings of the 2022 Conference of the North American Chapter of the Association for Computational Linguistics: Human Language Technologies, pp. 2655–2671. doi: 10.18653/v1/2022.naacl-main.191.</w:t>
      </w:r>
    </w:p>
    <w:p>
      <w:pPr>
        <w:spacing w:after="120"/>
        <w:ind w:left="720" w:hanging="720"/>
      </w:pPr>
      <w:r>
        <w:rPr>
          <w:sz w:val="20"/>
        </w:rPr>
        <w:t>Sclar, M., Choi, Y., Tsvetkov, Y. and Suhr, A. (2024) ‘Quantifying language models’ sensitivity to spurious features in prompt design or: How I learned to start worrying about prompt formatting’, Proceedings of the Twelfth International Conference on Learning Representations (ICLR 2024).</w:t>
      </w:r>
    </w:p>
    <w:p>
      <w:pPr>
        <w:spacing w:after="120"/>
        <w:ind w:left="720" w:hanging="720"/>
      </w:pPr>
      <w:r>
        <w:rPr>
          <w:sz w:val="20"/>
        </w:rPr>
        <w:t>Siska, C., Marazopoulou, K., Ailem, M. and Bono, J. (2024) ‘Examining the robustness of LLM evaluation to the distributional assumptions of benchmarks’, Proceedings of the 62nd Annual Meeting of the Association for Computational Linguistics (Volume 1: Long Papers), pp. 10406–10421. doi: 10.18653/v1/2024.acl-long.560.</w:t>
      </w:r>
    </w:p>
    <w:p>
      <w:pPr>
        <w:spacing w:after="120"/>
        <w:ind w:left="720" w:hanging="720"/>
      </w:pPr>
      <w:r>
        <w:rPr>
          <w:sz w:val="20"/>
        </w:rPr>
        <w:t>Song, Y., Wang, T., Cai, P., Mondal, S.K. and Sahoo, J.P. (2023) ‘A comprehensive survey of few-shot learning: Evolution, applications, challenges, and opportunities’, ACM Computing Surveys, 55(13s), Article 271, pp. 1–40. doi: 10.1145/3582688.</w:t>
      </w:r>
    </w:p>
    <w:p>
      <w:pPr>
        <w:spacing w:after="120"/>
        <w:ind w:left="720" w:hanging="720"/>
      </w:pPr>
      <w:r>
        <w:rPr>
          <w:sz w:val="20"/>
        </w:rPr>
        <w:t>Touvron, H. et al. (2023) ‘Llama 2: Open foundation and fine-tuned chat models’, arXiv preprint, arXiv:2307.09288.</w:t>
      </w:r>
    </w:p>
    <w:p>
      <w:pPr>
        <w:spacing w:after="120"/>
        <w:ind w:left="720" w:hanging="720"/>
      </w:pPr>
      <w:r>
        <w:rPr>
          <w:sz w:val="20"/>
        </w:rPr>
        <w:t>Wang, L., Yang, N. and Wei, F. (2024) ‘Learning to retrieve in-context examples for large language models’, Proceedings of the 18th Conference of the European Chapter of the Association for Computational Linguistics (Volume 1: Long Papers), pp. 1752–1767. doi: 10.18653/v1/2024.eacl-long.105.</w:t>
      </w:r>
    </w:p>
    <w:p>
      <w:pPr>
        <w:spacing w:after="120"/>
        <w:ind w:left="720" w:hanging="720"/>
      </w:pPr>
      <w:r>
        <w:rPr>
          <w:sz w:val="20"/>
        </w:rPr>
        <w:t>Wei, J. et al. (2022) ‘Emergent abilities of large language models’, Transactions on Machine Learning Research.</w:t>
      </w:r>
    </w:p>
    <w:p>
      <w:pPr>
        <w:spacing w:after="120"/>
        <w:ind w:left="720" w:hanging="720"/>
      </w:pPr>
      <w:r>
        <w:rPr>
          <w:sz w:val="20"/>
        </w:rPr>
        <w:t>Zhao, Z., Wallace, E., Feng, S., Klein, D. and Singh, S. (2021) ‘Calibrate before use: Improving few-shot performance of language models’, Proceedings of the 38th International Conference on Machine Learning, 139, pp. 12697–12706.</w:t>
      </w:r>
    </w:p>
    <w:p>
      <w:pPr>
        <w:spacing w:after="120"/>
        <w:ind w:left="720" w:hanging="720"/>
      </w:pPr>
      <w:r>
        <w:rPr>
          <w:sz w:val="20"/>
        </w:rPr>
        <w:t>Zhuo, J., Zhang, S., Fang, X., Duan, H., Lin, D. and Chen, K. (2024) ‘ProSA: Assessing and understanding the prompt sensitivity of LLMs’, Findings of the Association for Computational Linguistics: EMNLP 2024, pp. 1950–1976. doi: 10.18653/v1/2024.findings-emnlp.108.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