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Dokument bez H1</w:t>
      </w:r>
    </w:p>
    <w:p>
      <w:r>
        <w:t>Ta probka nie ma stylu Heading 1 i wymaga deterministycznego fallbacku sekcji.</w:t>
      </w:r>
    </w:p>
    <w:p>
      <w:pPr>
        <w:pStyle w:val="ListBullet"/>
      </w:pPr>
      <w:r>
        <w:t>Pierwszy punkt kontrolny</w:t>
      </w:r>
    </w:p>
    <w:p>
      <w:pPr>
        <w:pStyle w:val="ListBullet"/>
      </w:pPr>
      <w:r>
        <w:t>Drugi punkt kontrolny</w:t>
      </w:r>
    </w:p>
    <w:p>
      <w:r>
        <w:t xml:space="preserve">Wsparcie: </w:t>
      </w:r>
      <w:hyperlink r:id="rId9">
        <w:r>
          <w:rPr>
            <w:color w:val="0563C1"/>
            <w:u w:val="single"/>
          </w:rPr>
          <w:t>https://example.com/support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 bez H1</dc:title>
  <dc:subject/>
  <dc:creator>KindleMaster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