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Rich content sample</w:t>
      </w:r>
    </w:p>
    <w:p>
      <w:r>
        <w:t>This fixture exercises semantic lists, tables, hyperlinks, and inline imagery.</w:t>
      </w:r>
    </w:p>
    <w:p>
      <w:pPr>
        <w:pStyle w:val="Heading2"/>
      </w:pPr>
      <w:r>
        <w:t>Checklist</w:t>
      </w:r>
    </w:p>
    <w:p>
      <w:pPr>
        <w:pStyle w:val="ListBullet"/>
      </w:pPr>
      <w:r>
        <w:t>Preserve unordered lists</w:t>
      </w:r>
    </w:p>
    <w:p>
      <w:pPr>
        <w:pStyle w:val="ListNumber"/>
      </w:pPr>
      <w:r>
        <w:t>Preserve ordered lists</w:t>
      </w:r>
    </w:p>
    <w:p>
      <w:pPr>
        <w:pStyle w:val="ListBullet"/>
      </w:pPr>
      <w:r>
        <w:t>Keep hyperlinks clickable</w:t>
      </w:r>
    </w:p>
    <w:p>
      <w:pPr>
        <w:pStyle w:val="Heading2"/>
      </w:pPr>
      <w:r>
        <w:t>Reference link</w:t>
      </w:r>
    </w:p>
    <w:p>
      <w:r>
        <w:t xml:space="preserve">Canonical source: </w:t>
      </w:r>
      <w:hyperlink r:id="rId9">
        <w:r>
          <w:rPr>
            <w:color w:val="0563C1"/>
            <w:u w:val="single"/>
          </w:rPr>
          <w:t>Example Source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Lists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Tables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Inline image</w:t>
      </w:r>
    </w:p>
    <w:p>
      <w:r>
        <w:drawing>
          <wp:inline xmlns:a="http://schemas.openxmlformats.org/drawingml/2006/main" xmlns:pic="http://schemas.openxmlformats.org/drawingml/2006/picture">
            <wp:extent cx="2103120" cy="1101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k_ao7z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016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source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Rich Content Probe</dc:title>
  <dc:subject/>
  <dc:creator>Reference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