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00EB" w14:textId="77777777" w:rsidR="008F51BE" w:rsidRPr="008F51BE" w:rsidRDefault="008F51BE" w:rsidP="008F51BE">
      <w:pPr>
        <w:jc w:val="both"/>
        <w:rPr>
          <w:rFonts w:cstheme="minorHAnsi"/>
          <w:b/>
          <w:bCs/>
          <w:sz w:val="48"/>
          <w:szCs w:val="48"/>
        </w:rPr>
      </w:pPr>
      <w:r w:rsidRPr="008F51BE">
        <w:rPr>
          <w:rFonts w:cstheme="minorHAnsi"/>
          <w:b/>
          <w:bCs/>
          <w:sz w:val="48"/>
          <w:szCs w:val="48"/>
        </w:rPr>
        <w:t>Notable Points:</w:t>
      </w:r>
    </w:p>
    <w:p w14:paraId="3A5501B3" w14:textId="77777777" w:rsidR="008F51BE" w:rsidRPr="008F51BE" w:rsidRDefault="008F51BE" w:rsidP="008F51BE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8F51BE">
        <w:rPr>
          <w:rFonts w:cstheme="minorHAnsi"/>
          <w:sz w:val="48"/>
          <w:szCs w:val="48"/>
        </w:rPr>
        <w:t>There is a sudden spike around 2015 that may indicate a data anomaly or a stock split.</w:t>
      </w:r>
    </w:p>
    <w:p w14:paraId="6A2F110F" w14:textId="77777777" w:rsidR="008F51BE" w:rsidRPr="008F51BE" w:rsidRDefault="008F51BE" w:rsidP="008F51BE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8F51BE">
        <w:rPr>
          <w:rFonts w:cstheme="minorHAnsi"/>
          <w:sz w:val="48"/>
          <w:szCs w:val="48"/>
        </w:rPr>
        <w:t>After 2020, both the high and low prices are significantly higher compared to previous periods, showing Apple's market dominance.</w:t>
      </w:r>
    </w:p>
    <w:p w14:paraId="2AAE4EE8" w14:textId="77777777" w:rsidR="008F51BE" w:rsidRPr="008F51BE" w:rsidRDefault="008F51BE" w:rsidP="008F51BE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8F51BE">
        <w:rPr>
          <w:rFonts w:cstheme="minorHAnsi"/>
          <w:sz w:val="48"/>
          <w:szCs w:val="48"/>
        </w:rPr>
        <w:t>The gap between the high and low prices has widened over time, especially in recent years, indicating more price volatility.</w:t>
      </w:r>
    </w:p>
    <w:p w14:paraId="5A6C063D" w14:textId="77777777" w:rsidR="00FA4CAD" w:rsidRPr="008F51BE" w:rsidRDefault="00FA4CAD" w:rsidP="008F51BE">
      <w:pPr>
        <w:jc w:val="both"/>
        <w:rPr>
          <w:rFonts w:cstheme="minorHAnsi"/>
          <w:sz w:val="48"/>
          <w:szCs w:val="48"/>
        </w:rPr>
      </w:pPr>
    </w:p>
    <w:sectPr w:rsidR="00FA4CAD" w:rsidRPr="008F51BE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923"/>
    <w:multiLevelType w:val="multilevel"/>
    <w:tmpl w:val="61E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8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BE"/>
    <w:rsid w:val="001E524F"/>
    <w:rsid w:val="003075AA"/>
    <w:rsid w:val="0086285F"/>
    <w:rsid w:val="008F51BE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D567"/>
  <w15:chartTrackingRefBased/>
  <w15:docId w15:val="{6C7795BD-44BC-484B-8F5F-0435B35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2025-02-14T08:27:00Z</dcterms:created>
  <dcterms:modified xsi:type="dcterms:W3CDTF">2025-02-14T08:29:00Z</dcterms:modified>
</cp:coreProperties>
</file>