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E6B3E" w14:textId="77777777" w:rsidR="00A86944" w:rsidRPr="00A86944" w:rsidRDefault="00A86944" w:rsidP="00A86944">
      <w:pPr>
        <w:jc w:val="both"/>
        <w:rPr>
          <w:b/>
          <w:bCs/>
          <w:sz w:val="44"/>
          <w:szCs w:val="44"/>
        </w:rPr>
      </w:pPr>
      <w:r w:rsidRPr="00A86944">
        <w:rPr>
          <w:b/>
          <w:bCs/>
          <w:sz w:val="44"/>
          <w:szCs w:val="44"/>
        </w:rPr>
        <w:t>About Dataset</w:t>
      </w:r>
    </w:p>
    <w:p w14:paraId="0AD4FDD2" w14:textId="77777777" w:rsidR="00A86944" w:rsidRPr="00A86944" w:rsidRDefault="00A86944" w:rsidP="00A86944">
      <w:pPr>
        <w:jc w:val="both"/>
        <w:rPr>
          <w:sz w:val="44"/>
          <w:szCs w:val="44"/>
        </w:rPr>
      </w:pPr>
      <w:r w:rsidRPr="00A86944">
        <w:rPr>
          <w:sz w:val="44"/>
          <w:szCs w:val="44"/>
        </w:rPr>
        <w:t>This dataset provides in-depth insights into financial risk assessment, compliance violations, and fraud detection trends in the Big 4 consulting firms – Ernst &amp; Young (EY), PwC, Deloitte, and KPMG – from 2020 to 2025. It captures key metrics such as the number of audit engagements, high-risk cases, fraud cases detected, and compliance breaches. Additionally, it explores the impact of AI in auditing, employee workload, and client satisfaction scores.</w:t>
      </w:r>
    </w:p>
    <w:p w14:paraId="281A2207" w14:textId="77777777" w:rsidR="00A86944" w:rsidRPr="00A86944" w:rsidRDefault="00A86944" w:rsidP="00A86944">
      <w:pPr>
        <w:jc w:val="both"/>
        <w:rPr>
          <w:sz w:val="44"/>
          <w:szCs w:val="44"/>
        </w:rPr>
      </w:pPr>
      <w:r w:rsidRPr="00A86944">
        <w:rPr>
          <w:sz w:val="44"/>
          <w:szCs w:val="44"/>
        </w:rPr>
        <w:t xml:space="preserve">This dataset is valuable for financial analysts, auditors, data scientists, and risk managers who want to </w:t>
      </w:r>
      <w:proofErr w:type="spellStart"/>
      <w:r w:rsidRPr="00A86944">
        <w:rPr>
          <w:sz w:val="44"/>
          <w:szCs w:val="44"/>
        </w:rPr>
        <w:t>analyze</w:t>
      </w:r>
      <w:proofErr w:type="spellEnd"/>
      <w:r w:rsidRPr="00A86944">
        <w:rPr>
          <w:sz w:val="44"/>
          <w:szCs w:val="44"/>
        </w:rPr>
        <w:t xml:space="preserve"> trends in financial compliance, audit effectiveness, and corporate risk.</w:t>
      </w:r>
    </w:p>
    <w:p w14:paraId="35D5A4A1" w14:textId="77777777" w:rsidR="00FA4CAD" w:rsidRPr="00A86944" w:rsidRDefault="00FA4CAD" w:rsidP="00A86944">
      <w:pPr>
        <w:jc w:val="both"/>
        <w:rPr>
          <w:sz w:val="44"/>
          <w:szCs w:val="44"/>
        </w:rPr>
      </w:pPr>
    </w:p>
    <w:sectPr w:rsidR="00FA4CAD" w:rsidRPr="00A86944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44"/>
    <w:rsid w:val="001E524F"/>
    <w:rsid w:val="0086285F"/>
    <w:rsid w:val="009C7166"/>
    <w:rsid w:val="00A86944"/>
    <w:rsid w:val="00C74AF9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8AFD"/>
  <w15:chartTrackingRefBased/>
  <w15:docId w15:val="{367F8784-5EF9-41BF-883D-0EC06ABE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09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060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2025-03-13T05:29:00Z</dcterms:created>
  <dcterms:modified xsi:type="dcterms:W3CDTF">2025-03-13T05:30:00Z</dcterms:modified>
</cp:coreProperties>
</file>