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4C7CB" w14:textId="5301D043" w:rsidR="00490ED3" w:rsidRPr="00490ED3" w:rsidRDefault="00490ED3" w:rsidP="00490ED3">
      <w:pPr>
        <w:rPr>
          <w:rFonts w:cstheme="minorHAnsi"/>
          <w:b/>
          <w:bCs/>
          <w:sz w:val="40"/>
          <w:szCs w:val="40"/>
        </w:rPr>
      </w:pPr>
      <w:r w:rsidRPr="00490ED3">
        <w:rPr>
          <w:rFonts w:cstheme="minorHAnsi"/>
          <w:b/>
          <w:bCs/>
          <w:sz w:val="40"/>
          <w:szCs w:val="40"/>
        </w:rPr>
        <w:t>About Dataset</w:t>
      </w:r>
    </w:p>
    <w:p w14:paraId="55A52EFB" w14:textId="6E8AAB26" w:rsidR="00FA4CAD" w:rsidRPr="00490ED3" w:rsidRDefault="00490ED3" w:rsidP="00490ED3">
      <w:pPr>
        <w:rPr>
          <w:rFonts w:cstheme="minorHAnsi"/>
          <w:sz w:val="40"/>
          <w:szCs w:val="40"/>
        </w:rPr>
      </w:pPr>
      <w:r w:rsidRPr="00490ED3">
        <w:rPr>
          <w:rFonts w:cstheme="minorHAnsi"/>
          <w:sz w:val="40"/>
          <w:szCs w:val="40"/>
        </w:rPr>
        <w:t>This dataset provides information on oral cancer cases from the 30 most populated countries. It considers key risk factors such as age, gender, tobacco/alcohol use, socioeconomic background, and diagnosis stage. The dataset helps researchers and healthcare experts understand trends in oral cancer and predict outcomes based on patient details.</w:t>
      </w:r>
    </w:p>
    <w:sectPr w:rsidR="00FA4CAD" w:rsidRPr="00490ED3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ED3"/>
    <w:rsid w:val="001E524F"/>
    <w:rsid w:val="00490ED3"/>
    <w:rsid w:val="007A2B3B"/>
    <w:rsid w:val="0086285F"/>
    <w:rsid w:val="009C7166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C2BC5"/>
  <w15:chartTrackingRefBased/>
  <w15:docId w15:val="{3D723202-B66B-4DF1-8710-30F3EC6B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E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E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E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0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E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E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E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E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E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E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E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E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E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E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E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4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2025-02-11T13:08:00Z</dcterms:created>
  <dcterms:modified xsi:type="dcterms:W3CDTF">2025-02-11T13:10:00Z</dcterms:modified>
</cp:coreProperties>
</file>