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ACDAA" w14:textId="77777777" w:rsidR="002636B2" w:rsidRPr="002636B2" w:rsidRDefault="002636B2" w:rsidP="002636B2">
      <w:pPr>
        <w:rPr>
          <w:rFonts w:cstheme="minorHAnsi"/>
          <w:sz w:val="44"/>
          <w:szCs w:val="44"/>
        </w:rPr>
      </w:pPr>
      <w:r w:rsidRPr="002636B2">
        <w:rPr>
          <w:rFonts w:cstheme="minorHAnsi"/>
          <w:sz w:val="44"/>
          <w:szCs w:val="44"/>
        </w:rPr>
        <w:t>Introduction</w:t>
      </w:r>
    </w:p>
    <w:p w14:paraId="5870DC7B" w14:textId="77777777" w:rsidR="002636B2" w:rsidRPr="002636B2" w:rsidRDefault="002636B2" w:rsidP="002636B2">
      <w:pPr>
        <w:rPr>
          <w:rFonts w:cstheme="minorHAnsi"/>
          <w:sz w:val="44"/>
          <w:szCs w:val="44"/>
        </w:rPr>
      </w:pPr>
      <w:r w:rsidRPr="002636B2">
        <w:rPr>
          <w:rFonts w:cstheme="minorHAnsi"/>
          <w:sz w:val="44"/>
          <w:szCs w:val="44"/>
        </w:rPr>
        <w:t>In this section, we introduce the data and our motivation to study the intricate dynamics among education expenditure, health spending, and employment patterns. The dataset provides a rich set of indicators that invite us to ask compelling questions about how these factors interrelate across different countries and over time.</w:t>
      </w:r>
    </w:p>
    <w:p w14:paraId="02FBDCD0" w14:textId="77777777" w:rsidR="00FA4CAD" w:rsidRPr="002636B2" w:rsidRDefault="00FA4CAD">
      <w:pPr>
        <w:rPr>
          <w:rFonts w:cstheme="minorHAnsi"/>
          <w:sz w:val="44"/>
          <w:szCs w:val="44"/>
        </w:rPr>
      </w:pPr>
    </w:p>
    <w:sectPr w:rsidR="00FA4CAD" w:rsidRPr="002636B2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B2"/>
    <w:rsid w:val="001E524F"/>
    <w:rsid w:val="002636B2"/>
    <w:rsid w:val="003E291B"/>
    <w:rsid w:val="0086285F"/>
    <w:rsid w:val="009C7166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9B0"/>
  <w15:chartTrackingRefBased/>
  <w15:docId w15:val="{DC4CF66D-86BB-4C9D-885B-C2E4F23F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2025-03-26T03:35:00Z</dcterms:created>
  <dcterms:modified xsi:type="dcterms:W3CDTF">2025-03-26T03:35:00Z</dcterms:modified>
</cp:coreProperties>
</file>