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MILESTONE 6</w:t>
      </w:r>
    </w:p>
    <w:p>
      <w:pPr>
        <w:pStyle w:val="BodyText"/>
        <w:rPr/>
      </w:pPr>
      <w:r>
        <w:rPr/>
        <w:t>Final Project Report</w:t>
      </w:r>
    </w:p>
    <w:p>
      <w:pPr>
        <w:pStyle w:val="BodyText"/>
        <w:rPr/>
      </w:pPr>
      <w:r>
        <w:rPr>
          <w:b/>
          <w:bCs/>
        </w:rPr>
        <w:t>Data Guardian: The Compliance Challenge</w:t>
      </w:r>
    </w:p>
    <w:p>
      <w:pPr>
        <w:pStyle w:val="BodyText"/>
        <w:rPr/>
      </w:pPr>
      <w:r>
        <w:rPr/>
        <w:t>Digital Personal Data Protection (DPDP) Act, 2023</w:t>
      </w:r>
    </w:p>
    <w:p>
      <w:pPr>
        <w:pStyle w:val="BodyText"/>
        <w:rPr/>
      </w:pPr>
      <w:r>
        <w:rPr/>
        <w:t>Banking, Financial Services &amp; Insurance (BFSI) | Insurance Sub-Domain</w:t>
      </w:r>
    </w:p>
    <w:p>
      <w:pPr>
        <w:pStyle w:val="BodyText"/>
        <w:rPr/>
      </w:pPr>
      <w:r>
        <w:rPr>
          <w:b/>
          <w:bCs/>
        </w:rPr>
        <w:t>Team 1</w:t>
      </w:r>
    </w:p>
    <w:p>
      <w:pPr>
        <w:pStyle w:val="BodyText"/>
        <w:rPr/>
      </w:pPr>
      <w:r>
        <w:rPr/>
        <w:t>Sukasi Manidhar — 2023101067</w:t>
      </w:r>
    </w:p>
    <w:p>
      <w:pPr>
        <w:pStyle w:val="BodyText"/>
        <w:rPr/>
      </w:pPr>
      <w:r>
        <w:rPr/>
        <w:t>Koustubh Jain — 2023122003</w:t>
      </w:r>
    </w:p>
    <w:p>
      <w:pPr>
        <w:pStyle w:val="BodyText"/>
        <w:rPr/>
      </w:pPr>
      <w:r>
        <w:rPr/>
        <w:t>Naveen Kumar G — 2023702016</w:t>
      </w:r>
    </w:p>
    <w:p>
      <w:pPr>
        <w:pStyle w:val="BodyText"/>
        <w:rPr/>
      </w:pPr>
      <w:r>
        <w:rPr/>
        <w:t>Snigdha Pani — 2025204029</w:t>
      </w:r>
    </w:p>
    <w:p>
      <w:pPr>
        <w:pStyle w:val="BodyText"/>
        <w:rPr/>
      </w:pPr>
      <w:r>
        <w:rPr/>
        <w:t>K Surya Aditya Prasanth — 2024801013</w:t>
      </w:r>
    </w:p>
    <w:p>
      <w:pPr>
        <w:pStyle w:val="Heading2"/>
        <w:rPr/>
      </w:pPr>
      <w:bookmarkStart w:id="0" w:name="introduction"/>
      <w:r>
        <w:rPr/>
        <w:t>Introduction</w:t>
      </w:r>
    </w:p>
    <w:p>
      <w:pPr>
        <w:pStyle w:val="FirstParagraph"/>
        <w:rPr/>
      </w:pPr>
      <w:bookmarkStart w:id="1" w:name="introduction"/>
      <w:r>
        <w:rPr/>
        <w:t>The Digital Personal Data Protection (DPDP) Act introduces new legal requirements regarding the collection, processing, storage, and protection of personal data. Organizations in the banking and financial services sector handle highly sensitive personal information such as financial records, health information, and policyholder data. However, the legal language of data protection policies often makes it difficult for professionals from different roles to clearly understand the implications of the act. Therefore, this project aims to simplify the understanding of DPDP concepts through a gamification-based learning approach.</w:t>
      </w:r>
      <w:bookmarkEnd w:id="1"/>
    </w:p>
    <w:p>
      <w:pPr>
        <w:pStyle w:val="Heading2"/>
        <w:rPr/>
      </w:pPr>
      <w:bookmarkStart w:id="2" w:name="problem-statement"/>
      <w:r>
        <w:rPr/>
        <w:t>Problem Statement</w:t>
      </w:r>
    </w:p>
    <w:p>
      <w:pPr>
        <w:pStyle w:val="FirstParagraph"/>
        <w:rPr/>
      </w:pPr>
      <w:r>
        <w:rPr/>
        <w:t>The primary goal of this project is to design a gamified approach to help professionals in the banking and financial services sector understands:</w:t>
      </w:r>
    </w:p>
    <w:p>
      <w:pPr>
        <w:pStyle w:val="Normal"/>
        <w:numPr>
          <w:ilvl w:val="0"/>
          <w:numId w:val="1"/>
        </w:numPr>
        <w:rPr/>
      </w:pPr>
      <w:r>
        <w:rPr/>
        <w:t>Implications of the Digital Personal Data Protection (DPDP) Act</w:t>
      </w:r>
    </w:p>
    <w:p>
      <w:pPr>
        <w:pStyle w:val="Normal"/>
        <w:numPr>
          <w:ilvl w:val="0"/>
          <w:numId w:val="1"/>
        </w:numPr>
        <w:rPr/>
      </w:pPr>
      <w:r>
        <w:rPr/>
        <w:t>Practical strategies to mitigate data privacy risks</w:t>
      </w:r>
    </w:p>
    <w:p>
      <w:pPr>
        <w:pStyle w:val="Normal"/>
        <w:numPr>
          <w:ilvl w:val="0"/>
          <w:numId w:val="1"/>
        </w:numPr>
        <w:rPr/>
      </w:pPr>
      <w:r>
        <w:rPr/>
        <w:t>Responsibilities and obligations related to data protection</w:t>
      </w:r>
    </w:p>
    <w:p>
      <w:pPr>
        <w:pStyle w:val="FirstParagraph"/>
        <w:rPr/>
      </w:pPr>
      <w:bookmarkStart w:id="3" w:name="problem-statement"/>
      <w:r>
        <w:rPr/>
        <w:t>The challenge lies in translating complex legal and policy-driven information into an engaging and easily understandable learning format.</w:t>
      </w:r>
      <w:bookmarkEnd w:id="3"/>
    </w:p>
    <w:p>
      <w:pPr>
        <w:pStyle w:val="Heading2"/>
        <w:rPr/>
      </w:pPr>
      <w:bookmarkStart w:id="4" w:name="domain-and-scope"/>
      <w:r>
        <w:rPr/>
        <w:t>Domain and Scope</w:t>
      </w:r>
    </w:p>
    <w:p>
      <w:pPr>
        <w:pStyle w:val="FirstParagraph"/>
        <w:rPr/>
      </w:pPr>
      <w:r>
        <w:rPr>
          <w:b/>
          <w:bCs/>
        </w:rPr>
        <w:t>Domain:</w:t>
      </w:r>
      <w:r>
        <w:rPr/>
        <w:t xml:space="preserve"> Banking and Financial Services</w:t>
      </w:r>
    </w:p>
    <w:p>
      <w:pPr>
        <w:pStyle w:val="BodyText"/>
        <w:rPr/>
      </w:pPr>
      <w:r>
        <w:rPr>
          <w:b/>
          <w:bCs/>
        </w:rPr>
        <w:t>Scope:</w:t>
      </w:r>
      <w:r>
        <w:rPr/>
        <w:t xml:space="preserve"> Insurance subdomain within the banking and financial sector.</w:t>
      </w:r>
    </w:p>
    <w:p>
      <w:pPr>
        <w:pStyle w:val="BodyText"/>
        <w:rPr/>
      </w:pPr>
      <w:r>
        <w:rPr/>
        <w:t>The insurance sub-segment of Banking &amp; Financial Services handles some of the most sensitive categories of personal data:</w:t>
      </w:r>
    </w:p>
    <w:p>
      <w:pPr>
        <w:pStyle w:val="Normal"/>
        <w:numPr>
          <w:ilvl w:val="0"/>
          <w:numId w:val="17"/>
        </w:numPr>
        <w:rPr/>
      </w:pPr>
      <w:r>
        <w:rPr/>
        <w:t>Health records (for life and health insurance underwriting)</w:t>
      </w:r>
    </w:p>
    <w:p>
      <w:pPr>
        <w:pStyle w:val="Normal"/>
        <w:numPr>
          <w:ilvl w:val="0"/>
          <w:numId w:val="18"/>
        </w:numPr>
        <w:rPr/>
      </w:pPr>
      <w:r>
        <w:rPr/>
        <w:t>Financial data of customers (premium records, claims history, &gt; creditworthiness)</w:t>
      </w:r>
    </w:p>
    <w:p>
      <w:pPr>
        <w:pStyle w:val="Normal"/>
        <w:numPr>
          <w:ilvl w:val="0"/>
          <w:numId w:val="19"/>
        </w:numPr>
        <w:rPr/>
      </w:pPr>
      <w:r>
        <w:rPr/>
        <w:t>Claims investigation records (sensitive personal and sometimes medical information)</w:t>
      </w:r>
    </w:p>
    <w:p>
      <w:pPr>
        <w:pStyle w:val="Normal"/>
        <w:numPr>
          <w:ilvl w:val="0"/>
          <w:numId w:val="20"/>
        </w:numPr>
        <w:rPr/>
      </w:pPr>
      <w:r>
        <w:rPr/>
        <w:t>Policyholder data — identity, nominees, beneficiaries, etc.</w:t>
      </w:r>
    </w:p>
    <w:p>
      <w:pPr>
        <w:pStyle w:val="FirstParagraph"/>
        <w:rPr/>
      </w:pPr>
      <w:r>
        <w:rPr/>
        <w:t>The DPDP Act's implications are particularly acute in this sector because data flows between multiple parties - insurers, reinsurers, Third Party Administrators (TPAs), hospitals, and regulators - creating complex consent and accountability chains.</w:t>
      </w:r>
    </w:p>
    <w:p>
      <w:pPr>
        <w:pStyle w:val="Heading3"/>
        <w:rPr/>
      </w:pPr>
      <w:bookmarkStart w:id="5" w:name="X8017e91b6db28419e06cb0861dd556bf4e15276"/>
      <w:r>
        <w:rPr/>
        <w:t>Data Fiduciary — Significance of Obligations &amp; Duties</w:t>
      </w:r>
    </w:p>
    <w:p>
      <w:pPr>
        <w:pStyle w:val="FirstParagraph"/>
        <w:rPr/>
      </w:pPr>
      <w:r>
        <w:rPr/>
        <w:t>Under the DPDP Act, any entity that determines the purpose and means of processing personal data is a Data Fiduciary. In the insurance domain this includes insurers, brokers, and aggregators. Key duties include:</w:t>
      </w:r>
    </w:p>
    <w:p>
      <w:pPr>
        <w:pStyle w:val="Normal"/>
        <w:numPr>
          <w:ilvl w:val="0"/>
          <w:numId w:val="21"/>
        </w:numPr>
        <w:rPr/>
      </w:pPr>
      <w:r>
        <w:rPr/>
        <w:t>Obtaining free, specific, informed, unconditional, and unambiguous &gt; consent</w:t>
      </w:r>
    </w:p>
    <w:p>
      <w:pPr>
        <w:pStyle w:val="Normal"/>
        <w:numPr>
          <w:ilvl w:val="0"/>
          <w:numId w:val="22"/>
        </w:numPr>
        <w:rPr/>
      </w:pPr>
      <w:r>
        <w:rPr/>
        <w:t>Providing notice before or at the time of data collection</w:t>
      </w:r>
    </w:p>
    <w:p>
      <w:pPr>
        <w:pStyle w:val="Normal"/>
        <w:numPr>
          <w:ilvl w:val="0"/>
          <w:numId w:val="23"/>
        </w:numPr>
        <w:rPr/>
      </w:pPr>
      <w:r>
        <w:rPr/>
        <w:t>Ensuring data accuracy and completeness</w:t>
      </w:r>
    </w:p>
    <w:p>
      <w:pPr>
        <w:pStyle w:val="Normal"/>
        <w:numPr>
          <w:ilvl w:val="0"/>
          <w:numId w:val="24"/>
        </w:numPr>
        <w:rPr/>
      </w:pPr>
      <w:r>
        <w:rPr/>
        <w:t>Implementing security safeguards proportionate to the risk</w:t>
      </w:r>
    </w:p>
    <w:p>
      <w:pPr>
        <w:pStyle w:val="Normal"/>
        <w:numPr>
          <w:ilvl w:val="0"/>
          <w:numId w:val="25"/>
        </w:numPr>
        <w:rPr/>
      </w:pPr>
      <w:r>
        <w:rPr/>
        <w:t>Responding to Data Principal (customer) rights requests — access, &gt; correction, erasure, grievance redressal</w:t>
      </w:r>
    </w:p>
    <w:p>
      <w:pPr>
        <w:pStyle w:val="Normal"/>
        <w:numPr>
          <w:ilvl w:val="0"/>
          <w:numId w:val="26"/>
        </w:numPr>
        <w:rPr/>
      </w:pPr>
      <w:bookmarkStart w:id="6" w:name="domain-and-scope"/>
      <w:bookmarkStart w:id="7" w:name="X8017e91b6db28419e06cb0861dd556bf4e15276"/>
      <w:r>
        <w:rPr/>
        <w:t>Breach notification to the Data Protection Board and affected &gt; individuals</w:t>
      </w:r>
      <w:bookmarkStart w:id="8" w:name="section"/>
      <w:bookmarkEnd w:id="6"/>
      <w:bookmarkEnd w:id="7"/>
      <w:bookmarkEnd w:id="8"/>
    </w:p>
    <w:p>
      <w:pPr>
        <w:pStyle w:val="Heading1"/>
        <w:rPr/>
      </w:pPr>
      <w:r>
        <w:rPr/>
        <w:t>Key Concepts Related to DPDP Act</w:t>
      </w:r>
    </w:p>
    <w:p>
      <w:pPr>
        <w:pStyle w:val="FirstParagraph"/>
        <w:rPr/>
      </w:pPr>
      <w:r>
        <w:rPr/>
        <w:t>Based on preliminary exploration, the following data categories and compliance concepts are particularly relevant:</w:t>
      </w:r>
    </w:p>
    <w:p>
      <w:pPr>
        <w:pStyle w:val="Heading2"/>
        <w:rPr/>
      </w:pPr>
      <w:bookmarkStart w:id="9" w:name="sensitive-data-types"/>
      <w:r>
        <w:rPr/>
        <w:t>Sensitive Data Types</w:t>
      </w:r>
    </w:p>
    <w:p>
      <w:pPr>
        <w:pStyle w:val="Normal"/>
        <w:numPr>
          <w:ilvl w:val="0"/>
          <w:numId w:val="27"/>
        </w:numPr>
        <w:rPr/>
      </w:pPr>
      <w:r>
        <w:rPr/>
        <w:t>Health records of customers</w:t>
      </w:r>
    </w:p>
    <w:p>
      <w:pPr>
        <w:pStyle w:val="Normal"/>
        <w:numPr>
          <w:ilvl w:val="0"/>
          <w:numId w:val="28"/>
        </w:numPr>
        <w:rPr/>
      </w:pPr>
      <w:r>
        <w:rPr/>
        <w:t>Financial data of customers</w:t>
      </w:r>
    </w:p>
    <w:p>
      <w:pPr>
        <w:pStyle w:val="Normal"/>
        <w:numPr>
          <w:ilvl w:val="0"/>
          <w:numId w:val="29"/>
        </w:numPr>
        <w:rPr/>
      </w:pPr>
      <w:r>
        <w:rPr/>
        <w:t>Claims investigation records</w:t>
      </w:r>
    </w:p>
    <w:p>
      <w:pPr>
        <w:pStyle w:val="Normal"/>
        <w:numPr>
          <w:ilvl w:val="0"/>
          <w:numId w:val="30"/>
        </w:numPr>
        <w:rPr/>
      </w:pPr>
      <w:bookmarkStart w:id="10" w:name="sensitive-data-types"/>
      <w:r>
        <w:rPr/>
        <w:t>Policyholder personal information</w:t>
      </w:r>
      <w:bookmarkEnd w:id="10"/>
    </w:p>
    <w:p>
      <w:pPr>
        <w:pStyle w:val="Heading2"/>
        <w:rPr/>
      </w:pPr>
      <w:r>
        <w:rPr/>
        <w:t>Core DPDP Principles</w:t>
      </w:r>
    </w:p>
    <w:p>
      <w:pPr>
        <w:pStyle w:val="Normal"/>
        <w:numPr>
          <w:ilvl w:val="0"/>
          <w:numId w:val="31"/>
        </w:numPr>
        <w:rPr/>
      </w:pPr>
      <w:r>
        <w:rPr/>
        <w:t>Lawful data collection</w:t>
      </w:r>
    </w:p>
    <w:p>
      <w:pPr>
        <w:pStyle w:val="Normal"/>
        <w:numPr>
          <w:ilvl w:val="0"/>
          <w:numId w:val="32"/>
        </w:numPr>
        <w:rPr/>
      </w:pPr>
      <w:r>
        <w:rPr/>
        <w:t>Consent management for collected data</w:t>
      </w:r>
    </w:p>
    <w:p>
      <w:pPr>
        <w:pStyle w:val="Normal"/>
        <w:numPr>
          <w:ilvl w:val="0"/>
          <w:numId w:val="33"/>
        </w:numPr>
        <w:rPr/>
      </w:pPr>
      <w:r>
        <w:rPr/>
        <w:t>Data minimization</w:t>
      </w:r>
    </w:p>
    <w:p>
      <w:pPr>
        <w:pStyle w:val="Normal"/>
        <w:numPr>
          <w:ilvl w:val="0"/>
          <w:numId w:val="34"/>
        </w:numPr>
        <w:rPr/>
      </w:pPr>
      <w:r>
        <w:rPr/>
        <w:t>Secure storage and processing of data</w:t>
      </w:r>
    </w:p>
    <w:p>
      <w:pPr>
        <w:pStyle w:val="Normal"/>
        <w:numPr>
          <w:ilvl w:val="0"/>
          <w:numId w:val="35"/>
        </w:numPr>
        <w:rPr/>
      </w:pPr>
      <w:r>
        <w:rPr/>
        <w:t>Breach reporting and compliance management</w:t>
      </w:r>
    </w:p>
    <w:p>
      <w:pPr>
        <w:pStyle w:val="Normal"/>
        <w:numPr>
          <w:ilvl w:val="0"/>
          <w:numId w:val="36"/>
        </w:numPr>
        <w:rPr/>
      </w:pPr>
      <w:r>
        <w:rPr/>
        <w:t>Accountability of data fiduciaries</w:t>
      </w:r>
    </w:p>
    <w:p>
      <w:pPr>
        <w:pStyle w:val="FirstParagraph"/>
        <w:rPr/>
      </w:pPr>
      <w:r>
        <w:rPr/>
        <w:t>These principles form the foundation of the DPDP Act and influence how organizations must manage personal data responsibly.</w:t>
      </w:r>
    </w:p>
    <w:p>
      <w:pPr>
        <w:pStyle w:val="Compact"/>
        <w:numPr>
          <w:ilvl w:val="0"/>
          <w:numId w:val="37"/>
        </w:numPr>
        <w:rPr/>
      </w:pPr>
      <w:r>
        <w:rPr>
          <w:b/>
          <w:bCs/>
        </w:rPr>
        <w:t>Summary of DPDP concepts related to the banking and financial services sector</w:t>
      </w:r>
    </w:p>
    <w:tbl>
      <w:tblPr>
        <w:tblStyle w:val="Table"/>
        <w:tblW w:w="485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5"/>
        <w:gridCol w:w="1816"/>
        <w:gridCol w:w="2074"/>
        <w:gridCol w:w="3113"/>
      </w:tblGrid>
      <w:tr>
        <w:trPr>
          <w:tblHeader w:val="true"/>
        </w:trPr>
        <w:tc>
          <w:tcPr>
            <w:tcW w:w="2075" w:type="dxa"/>
            <w:tcBorders>
              <w:bottom w:val="single" w:sz="6" w:space="0" w:color="000000"/>
            </w:tcBorders>
            <w:vAlign w:val="bottom"/>
          </w:tcPr>
          <w:p>
            <w:pPr>
              <w:pStyle w:val="Compact"/>
              <w:widowControl/>
              <w:numPr>
                <w:ilvl w:val="0"/>
                <w:numId w:val="38"/>
              </w:numPr>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*Professional Cohort**</w:t>
            </w:r>
          </w:p>
        </w:tc>
        <w:tc>
          <w:tcPr>
            <w:tcW w:w="181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De signation</w:t>
            </w:r>
          </w:p>
        </w:tc>
        <w:tc>
          <w:tcPr>
            <w:tcW w:w="207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Data Touchpoints</w:t>
            </w:r>
          </w:p>
        </w:tc>
        <w:tc>
          <w:tcPr>
            <w:tcW w:w="311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Operational Friction with DPDP Act 2023</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Operations</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Actuaries &amp; U nderwriters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Financial histories, health records, behavioral data.</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Actuarial need for maximum data points conflicts directly with the statutory mandate for data minimization.</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Operations</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Claims Managers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Claims investigation records, medical diagnostic reports.</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 to share sensitive health data with Third-Party Administrators (TPAs) necessitates navigating complex, granular consent revocations.</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Operations</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 Service &amp; Agents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KYC data, policyholder contact information.</w:t>
            </w:r>
          </w:p>
        </w:tc>
        <w:tc>
          <w:tcPr>
            <w:tcW w:w="3113" w:type="dxa"/>
            <w:tcBorders/>
          </w:tcPr>
          <w:p>
            <w:pPr>
              <w:pStyle w:val="Normal"/>
              <w:widowControl/>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Tasked with obtaining lawful, unbundled consent in</w:t>
            </w:r>
          </w:p>
          <w:p>
            <w:pPr>
              <w:pStyle w:val="Normal"/>
              <w:widowControl/>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moving away from legacy practices of blanket, perpetual consent.</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Inf rastructure</w:t>
            </w:r>
          </w:p>
        </w:tc>
        <w:tc>
          <w:tcPr>
            <w:tcW w:w="1816" w:type="dxa"/>
            <w:tcBorders/>
          </w:tcPr>
          <w:p>
            <w:pPr>
              <w:pStyle w:val="Normal"/>
              <w:widowControl/>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UI/UX</w:t>
            </w:r>
          </w:p>
          <w:p>
            <w:pPr>
              <w:pStyle w:val="Normal"/>
              <w:widowControl/>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Designers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Consent interfaces, user dashboards, privacy notices.</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between creating frictionless, visually appealing user experiences and the legal necessity of presenting detailed, prominent privacy disclosures.</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Inf rastructure</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 &amp; IT</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architecture, API integrations, and data transit.</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Mandated to build secure storage/processing channels and implement systemic data deletion protocols across legacy mainframe systems.</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Inf rastructure</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Scientists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Aggregated customer datasets and predictive machine learning models.</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Balancing algorithmic accuracy against the requirement to utilize anonymized data and avoid unlawful profiling based on unconsented variables.</w:t>
            </w:r>
          </w:p>
        </w:tc>
      </w:tr>
      <w:tr>
        <w:trPr/>
        <w:tc>
          <w:tcPr>
            <w:tcW w:w="2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Inf rastructure</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Compliance Officers</w:t>
            </w:r>
          </w:p>
        </w:tc>
        <w:tc>
          <w:tcPr>
            <w:tcW w:w="2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Audit logs, breach reporting systems, and enterprise risk frameworks.</w:t>
            </w:r>
          </w:p>
        </w:tc>
        <w:tc>
          <w:tcPr>
            <w:tcW w:w="3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Managing overarching data fiduciary duties, ensuring 72-hour breach reporting compliance, and translating abstract legal jargon into technical requirements.</w:t>
            </w:r>
            <w:bookmarkStart w:id="11" w:name="key-concepts-related-to-dpdp-act"/>
            <w:bookmarkStart w:id="12" w:name="core-dpdp-principles"/>
            <w:bookmarkEnd w:id="11"/>
            <w:bookmarkEnd w:id="12"/>
          </w:p>
        </w:tc>
      </w:tr>
    </w:tbl>
    <w:p>
      <w:pPr>
        <w:pStyle w:val="Heading1"/>
        <w:rPr/>
      </w:pPr>
      <w:r>
        <w:rPr/>
        <w:t>Impact of DPDP Compliance</w:t>
      </w:r>
    </w:p>
    <w:p>
      <w:pPr>
        <w:pStyle w:val="FirstParagraph"/>
        <w:rPr/>
      </w:pPr>
      <w:r>
        <w:rPr/>
        <w:t>Failure to comply with the DPDP Act may result in:</w:t>
      </w:r>
    </w:p>
    <w:p>
      <w:pPr>
        <w:pStyle w:val="Normal"/>
        <w:numPr>
          <w:ilvl w:val="0"/>
          <w:numId w:val="39"/>
        </w:numPr>
        <w:rPr/>
      </w:pPr>
      <w:r>
        <w:rPr/>
        <w:t>Heavy legal implications</w:t>
      </w:r>
    </w:p>
    <w:p>
      <w:pPr>
        <w:pStyle w:val="Normal"/>
        <w:numPr>
          <w:ilvl w:val="0"/>
          <w:numId w:val="40"/>
        </w:numPr>
        <w:rPr/>
      </w:pPr>
      <w:r>
        <w:rPr/>
        <w:t>Financial penalties</w:t>
      </w:r>
    </w:p>
    <w:p>
      <w:pPr>
        <w:pStyle w:val="Normal"/>
        <w:numPr>
          <w:ilvl w:val="0"/>
          <w:numId w:val="41"/>
        </w:numPr>
        <w:rPr/>
      </w:pPr>
      <w:r>
        <w:rPr/>
        <w:t>Loss of organizational credibility</w:t>
      </w:r>
    </w:p>
    <w:p>
      <w:pPr>
        <w:pStyle w:val="FirstParagraph"/>
        <w:rPr/>
      </w:pPr>
      <w:r>
        <w:rPr/>
        <w:t>Therefore, organizations and employees need to understand their roles in maintaining data privacy and compliance.</w:t>
      </w:r>
    </w:p>
    <w:p>
      <w:pPr>
        <w:pStyle w:val="BodyText"/>
        <w:rPr/>
      </w:pPr>
      <w:r>
        <w:rPr>
          <w:b/>
          <w:bCs/>
        </w:rPr>
        <w:t>Challenges in Understanding DPDP</w:t>
      </w:r>
    </w:p>
    <w:p>
      <w:pPr>
        <w:pStyle w:val="BodyText"/>
        <w:rPr/>
      </w:pPr>
      <w:r>
        <w:rPr/>
        <w:t>Several challenges exist in communicating DPDP requirements effectively:</w:t>
      </w:r>
    </w:p>
    <w:p>
      <w:pPr>
        <w:pStyle w:val="Normal"/>
        <w:numPr>
          <w:ilvl w:val="0"/>
          <w:numId w:val="42"/>
        </w:numPr>
        <w:rPr/>
      </w:pPr>
      <w:r>
        <w:rPr/>
        <w:t>Legal and policy-heavy documentation</w:t>
      </w:r>
    </w:p>
    <w:p>
      <w:pPr>
        <w:pStyle w:val="Normal"/>
        <w:numPr>
          <w:ilvl w:val="0"/>
          <w:numId w:val="43"/>
        </w:numPr>
        <w:rPr/>
      </w:pPr>
      <w:r>
        <w:rPr/>
        <w:t>Abstract theoretical concepts</w:t>
      </w:r>
    </w:p>
    <w:p>
      <w:pPr>
        <w:pStyle w:val="Normal"/>
        <w:numPr>
          <w:ilvl w:val="0"/>
          <w:numId w:val="44"/>
        </w:numPr>
        <w:rPr/>
      </w:pPr>
      <w:r>
        <w:rPr/>
        <w:t>Use of complex legal jargon</w:t>
      </w:r>
    </w:p>
    <w:p>
      <w:pPr>
        <w:pStyle w:val="Normal"/>
        <w:numPr>
          <w:ilvl w:val="0"/>
          <w:numId w:val="45"/>
        </w:numPr>
        <w:rPr/>
      </w:pPr>
      <w:r>
        <w:rPr/>
        <w:t>Difficulty for non-legal professionals to understand</w:t>
      </w:r>
    </w:p>
    <w:p>
      <w:pPr>
        <w:pStyle w:val="FirstParagraph"/>
        <w:rPr/>
      </w:pPr>
      <w:r>
        <w:rPr/>
        <w:t>For example, designers or technical professionals may focus on visual implementation rather than understanding legal compliance implications.</w:t>
      </w:r>
    </w:p>
    <w:p>
      <w:pPr>
        <w:pStyle w:val="Heading1"/>
        <w:rPr/>
      </w:pPr>
      <w:bookmarkStart w:id="13" w:name="proposed-solution"/>
      <w:r>
        <w:rPr/>
        <w:t>Proposed Solution</w:t>
      </w:r>
    </w:p>
    <w:p>
      <w:pPr>
        <w:pStyle w:val="FirstParagraph"/>
        <w:rPr/>
      </w:pPr>
      <w:r>
        <w:rPr/>
        <w:t>To address these challenges, the project proposes a gamification-based learning approach.</w:t>
      </w:r>
    </w:p>
    <w:p>
      <w:pPr>
        <w:pStyle w:val="BodyText"/>
        <w:rPr/>
      </w:pPr>
      <w:r>
        <w:rPr/>
        <w:t>The idea is to develop an interactive learning system, such as:</w:t>
      </w:r>
    </w:p>
    <w:p>
      <w:pPr>
        <w:pStyle w:val="Normal"/>
        <w:numPr>
          <w:ilvl w:val="0"/>
          <w:numId w:val="46"/>
        </w:numPr>
        <w:rPr/>
      </w:pPr>
      <w:r>
        <w:rPr/>
        <w:t>Reward-based risk identification activities</w:t>
      </w:r>
    </w:p>
    <w:p>
      <w:pPr>
        <w:pStyle w:val="Normal"/>
        <w:numPr>
          <w:ilvl w:val="0"/>
          <w:numId w:val="47"/>
        </w:numPr>
        <w:rPr/>
      </w:pPr>
      <w:r>
        <w:rPr/>
        <w:t>Board-game style simulations</w:t>
      </w:r>
    </w:p>
    <w:p>
      <w:pPr>
        <w:pStyle w:val="Normal"/>
        <w:numPr>
          <w:ilvl w:val="0"/>
          <w:numId w:val="48"/>
        </w:numPr>
        <w:rPr/>
      </w:pPr>
      <w:r>
        <w:rPr/>
        <w:t>Scenario-based learning modules</w:t>
      </w:r>
    </w:p>
    <w:p>
      <w:pPr>
        <w:pStyle w:val="FirstParagraph"/>
        <w:rPr/>
      </w:pPr>
      <w:bookmarkStart w:id="14" w:name="proposed-solution"/>
      <w:r>
        <w:rPr/>
        <w:t>These interactive methods can help domain professionals better understand DPDP principles and apply them in real-world situations.</w:t>
      </w:r>
      <w:bookmarkEnd w:id="14"/>
    </w:p>
    <w:p>
      <w:pPr>
        <w:pStyle w:val="Heading1"/>
        <w:rPr/>
      </w:pPr>
      <w:bookmarkStart w:id="15" w:name="literature-review"/>
      <w:r>
        <w:rPr/>
        <w:t>Literature Review</w:t>
      </w:r>
    </w:p>
    <w:p>
      <w:pPr>
        <w:pStyle w:val="FirstParagraph"/>
        <w:rPr/>
      </w:pPr>
      <w:r>
        <w:rPr/>
        <w:t>A review of existing research across data governance, regulatory compliance training, and learning design reveals three compounding problems that this project directly addresses.</w:t>
      </w:r>
    </w:p>
    <w:p>
      <w:pPr>
        <w:pStyle w:val="Heading3"/>
        <w:rPr/>
      </w:pPr>
      <w:bookmarkStart w:id="16" w:name="the-compliance-communication-problem"/>
      <w:r>
        <w:rPr/>
        <w:t>The compliance communication problem</w:t>
      </w:r>
    </w:p>
    <w:p>
      <w:pPr>
        <w:pStyle w:val="FirstParagraph"/>
        <w:rPr/>
      </w:pPr>
      <w:bookmarkStart w:id="17" w:name="the-compliance-communication-problem"/>
      <w:r>
        <w:rPr/>
        <w:t>Regulatory frameworks like GDPR (EU), PDPA (Singapore), and now India’s DPDP Act were designed by legal experts and written in legal language - a language that most professionals who must implement compliance are not trained to read. Research consistently shows that organizations issue policy documents and conduct classroom briefings, yet employee awareness remains shallow. The knowledge stays at the surface level of ‘I’ve heard of it’ rather than reaching the level of ‘I know what I must do differently tomorrow.’ This gap is especially pronounced in the insurance sector, were data flows across multiple roles and systems simultaneously.</w:t>
      </w:r>
      <w:bookmarkEnd w:id="17"/>
    </w:p>
    <w:p>
      <w:pPr>
        <w:pStyle w:val="Heading3"/>
        <w:rPr/>
      </w:pPr>
      <w:bookmarkStart w:id="18" w:name="X566a91e6311b90efa0f56c2c52553b53087bb69"/>
      <w:r>
        <w:rPr/>
        <w:t>The retention problem with traditional training</w:t>
      </w:r>
    </w:p>
    <w:p>
      <w:pPr>
        <w:pStyle w:val="FirstParagraph"/>
        <w:rPr/>
      </w:pPr>
      <w:bookmarkStart w:id="19" w:name="X566a91e6311b90efa0f56c2c52553b53087bb69"/>
      <w:r>
        <w:rPr/>
        <w:t>Studies in learning design show that passive training methods - e-learning modules, compliance decks, recorded webinars - produce high completion rates but low behavioral change. Learners forget 70% of passively consumed information within 24 hours (the Ebbinghaus forgetting curve). By contrast, scenario-based and experiential learning produces significantly stronger recall and on-the-job application, because the learner is placed in the role of decision-maker rather than audience.</w:t>
      </w:r>
      <w:bookmarkEnd w:id="19"/>
    </w:p>
    <w:p>
      <w:pPr>
        <w:pStyle w:val="Heading3"/>
        <w:rPr/>
      </w:pPr>
      <w:bookmarkStart w:id="20" w:name="Xea10fdf58faa2755c9981d7de7c82c34f16a190"/>
      <w:r>
        <w:rPr/>
        <w:t>Gamification as an established intervention</w:t>
      </w:r>
    </w:p>
    <w:p>
      <w:pPr>
        <w:pStyle w:val="FirstParagraph"/>
        <w:rPr/>
      </w:pPr>
      <w:r>
        <w:rPr/>
        <w:t>Gamification - the use of game mechanics in non-game contexts - has been validated as a training tool in domains with similarly complex compliance requirements. Cybersecurity awareness programmes that use phishing simulations, risk-identification card games, and escape-room formats have demonstrated measurable improvements in policy adherence and incident reporting. These precedents are directly transferable to DPDP awareness, particularly where the objective is not just knowledge transfer but building instinctive, role-specific judgment about data privacy decisions.</w:t>
      </w:r>
    </w:p>
    <w:p>
      <w:pPr>
        <w:pStyle w:val="BodyText"/>
        <w:rPr/>
      </w:pPr>
      <w:bookmarkStart w:id="21" w:name="literature-review"/>
      <w:bookmarkStart w:id="22" w:name="Xea10fdf58faa2755c9981d7de7c82c34f16a190"/>
      <w:r>
        <w:rPr/>
        <w:t>Taken together, the literature makes a clear case: the problem is not that DPDP is too complex to teach - it is that the dominant methods of teaching it are wrong for the audience. A gamified, scenario-driven approach tailored to insurance professionals is not just an engaging alternative; it is likely the more effective one.</w:t>
      </w:r>
      <w:bookmarkEnd w:id="21"/>
      <w:bookmarkEnd w:id="22"/>
    </w:p>
    <w:p>
      <w:pPr>
        <w:pStyle w:val="Heading1"/>
        <w:rPr/>
      </w:pPr>
      <w:r>
        <w:rPr/>
        <w:t>Stakeholder Identification</w:t>
      </w:r>
    </w:p>
    <w:p>
      <w:pPr>
        <w:pStyle w:val="FirstParagraph"/>
        <w:rPr/>
      </w:pPr>
      <w:r>
        <w:rPr/>
        <w:t>To understand the knowledge gaps and awareness levels, the following domain stakeholders have been identified.</w:t>
      </w:r>
    </w:p>
    <w:p>
      <w:pPr>
        <w:pStyle w:val="Heading3"/>
        <w:rPr/>
      </w:pPr>
      <w:bookmarkStart w:id="23" w:name="business-side-stakeholders"/>
      <w:r>
        <w:rPr/>
        <w:t>Business-Side Stakeholders</w:t>
      </w:r>
    </w:p>
    <w:p>
      <w:pPr>
        <w:pStyle w:val="Normal"/>
        <w:numPr>
          <w:ilvl w:val="0"/>
          <w:numId w:val="49"/>
        </w:numPr>
        <w:rPr/>
      </w:pPr>
      <w:r>
        <w:rPr/>
        <w:t>Actuaries</w:t>
      </w:r>
    </w:p>
    <w:p>
      <w:pPr>
        <w:pStyle w:val="Normal"/>
        <w:numPr>
          <w:ilvl w:val="0"/>
          <w:numId w:val="50"/>
        </w:numPr>
        <w:rPr/>
      </w:pPr>
      <w:r>
        <w:rPr/>
        <w:t>Underwriters</w:t>
      </w:r>
    </w:p>
    <w:p>
      <w:pPr>
        <w:pStyle w:val="Normal"/>
        <w:numPr>
          <w:ilvl w:val="0"/>
          <w:numId w:val="51"/>
        </w:numPr>
        <w:rPr/>
      </w:pPr>
      <w:r>
        <w:rPr/>
        <w:t>Claims Managers</w:t>
      </w:r>
    </w:p>
    <w:p>
      <w:pPr>
        <w:pStyle w:val="Normal"/>
        <w:numPr>
          <w:ilvl w:val="0"/>
          <w:numId w:val="52"/>
        </w:numPr>
        <w:rPr/>
      </w:pPr>
      <w:r>
        <w:rPr/>
        <w:t>Customer Service Agents</w:t>
      </w:r>
    </w:p>
    <w:p>
      <w:pPr>
        <w:pStyle w:val="Normal"/>
        <w:numPr>
          <w:ilvl w:val="0"/>
          <w:numId w:val="53"/>
        </w:numPr>
        <w:rPr/>
      </w:pPr>
      <w:bookmarkStart w:id="24" w:name="business-side-stakeholders"/>
      <w:r>
        <w:rPr/>
        <w:t>Insurance Agents</w:t>
      </w:r>
      <w:bookmarkEnd w:id="24"/>
    </w:p>
    <w:p>
      <w:pPr>
        <w:pStyle w:val="Heading3"/>
        <w:rPr/>
      </w:pPr>
      <w:r>
        <w:rPr/>
      </w:r>
      <w:bookmarkStart w:id="25" w:name="section-1"/>
      <w:bookmarkStart w:id="26" w:name="section-1"/>
      <w:bookmarkEnd w:id="26"/>
    </w:p>
    <w:p>
      <w:pPr>
        <w:pStyle w:val="Heading3"/>
        <w:rPr/>
      </w:pPr>
      <w:r>
        <w:rPr/>
        <w:t>Technology-Side Stakeholders</w:t>
      </w:r>
    </w:p>
    <w:p>
      <w:pPr>
        <w:pStyle w:val="Normal"/>
        <w:numPr>
          <w:ilvl w:val="0"/>
          <w:numId w:val="54"/>
        </w:numPr>
        <w:rPr/>
      </w:pPr>
      <w:r>
        <w:rPr/>
        <w:t>Data Scientists</w:t>
      </w:r>
    </w:p>
    <w:p>
      <w:pPr>
        <w:pStyle w:val="Normal"/>
        <w:numPr>
          <w:ilvl w:val="0"/>
          <w:numId w:val="55"/>
        </w:numPr>
        <w:rPr/>
      </w:pPr>
      <w:r>
        <w:rPr/>
        <w:t>Software Engineers</w:t>
      </w:r>
    </w:p>
    <w:p>
      <w:pPr>
        <w:pStyle w:val="Normal"/>
        <w:numPr>
          <w:ilvl w:val="0"/>
          <w:numId w:val="56"/>
        </w:numPr>
        <w:rPr/>
      </w:pPr>
      <w:r>
        <w:rPr/>
        <w:t>Designers</w:t>
      </w:r>
    </w:p>
    <w:p>
      <w:pPr>
        <w:pStyle w:val="Normal"/>
        <w:numPr>
          <w:ilvl w:val="0"/>
          <w:numId w:val="57"/>
        </w:numPr>
        <w:rPr/>
      </w:pPr>
      <w:r>
        <w:rPr/>
        <w:t>Developers</w:t>
      </w:r>
    </w:p>
    <w:p>
      <w:pPr>
        <w:pStyle w:val="Normal"/>
        <w:numPr>
          <w:ilvl w:val="0"/>
          <w:numId w:val="58"/>
        </w:numPr>
        <w:rPr/>
      </w:pPr>
      <w:r>
        <w:rPr/>
        <w:t>Compliance Officers</w:t>
      </w:r>
    </w:p>
    <w:p>
      <w:pPr>
        <w:pStyle w:val="FirstParagraph"/>
        <w:rPr/>
      </w:pPr>
      <w:r>
        <w:rPr/>
        <w:t>These stakeholders interact with sensitive customer data and therefore need to understand DPDP requirements.</w:t>
      </w:r>
    </w:p>
    <w:tbl>
      <w:tblPr>
        <w:tblStyle w:val="Table"/>
        <w:tblW w:w="49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3"/>
        <w:gridCol w:w="3359"/>
        <w:gridCol w:w="3230"/>
      </w:tblGrid>
      <w:tr>
        <w:trPr>
          <w:tblHeader w:val="true"/>
        </w:trPr>
        <w:tc>
          <w:tcPr>
            <w:tcW w:w="2583" w:type="dxa"/>
            <w:tcBorders>
              <w:bottom w:val="single" w:sz="6" w:space="0" w:color="000000"/>
            </w:tcBorders>
            <w:vAlign w:val="bottom"/>
          </w:tcPr>
          <w:p>
            <w:pPr>
              <w:pStyle w:val="BlockText"/>
              <w:widowControl/>
              <w:spacing w:before="100" w:after="100"/>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Stakeholder Group</w:t>
            </w:r>
          </w:p>
        </w:tc>
        <w:tc>
          <w:tcPr>
            <w:tcW w:w="3359" w:type="dxa"/>
            <w:tcBorders>
              <w:bottom w:val="single" w:sz="6" w:space="0" w:color="000000"/>
            </w:tcBorders>
            <w:vAlign w:val="bottom"/>
          </w:tcPr>
          <w:p>
            <w:pPr>
              <w:pStyle w:val="BlockText"/>
              <w:widowControl/>
              <w:spacing w:before="100" w:after="100"/>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 / Examples</w:t>
            </w:r>
          </w:p>
        </w:tc>
        <w:tc>
          <w:tcPr>
            <w:tcW w:w="3230" w:type="dxa"/>
            <w:tcBorders>
              <w:bottom w:val="single" w:sz="6" w:space="0" w:color="000000"/>
            </w:tcBorders>
            <w:vAlign w:val="bottom"/>
          </w:tcPr>
          <w:p>
            <w:pPr>
              <w:pStyle w:val="BlockText"/>
              <w:widowControl/>
              <w:spacing w:before="100" w:after="100"/>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DPDP Relevance</w:t>
            </w:r>
          </w:p>
        </w:tc>
      </w:tr>
      <w:tr>
        <w:trPr/>
        <w:tc>
          <w:tcPr>
            <w:tcW w:w="2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Side</w:t>
            </w:r>
          </w:p>
        </w:tc>
        <w:tc>
          <w:tcPr>
            <w:tcW w:w="3359"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Actuaries, Underwriters, Claims Managers, Customer Service Agents, Insurance Agents</w:t>
            </w:r>
          </w:p>
        </w:tc>
        <w:tc>
          <w:tcPr>
            <w:tcW w:w="3230"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customer data daily; need to understand consent, data minimisation, breach reporting</w:t>
            </w:r>
          </w:p>
        </w:tc>
      </w:tr>
      <w:tr>
        <w:trPr/>
        <w:tc>
          <w:tcPr>
            <w:tcW w:w="2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IT / Technology Side</w:t>
            </w:r>
          </w:p>
        </w:tc>
        <w:tc>
          <w:tcPr>
            <w:tcW w:w="3359"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Scientists, IT Professionals, Software Engineers, Designers, Compliance Officers, Developers</w:t>
            </w:r>
          </w:p>
        </w:tc>
        <w:tc>
          <w:tcPr>
            <w:tcW w:w="3230"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systems processing personal data; must embed privacy-by-design and implement technical safeguards</w:t>
            </w:r>
          </w:p>
        </w:tc>
      </w:tr>
      <w:tr>
        <w:trPr/>
        <w:tc>
          <w:tcPr>
            <w:tcW w:w="2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Compliance &amp; Legal</w:t>
            </w:r>
          </w:p>
        </w:tc>
        <w:tc>
          <w:tcPr>
            <w:tcW w:w="3359"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Compliance Officers, Legal Counsels, Risk Managers</w:t>
            </w:r>
          </w:p>
        </w:tc>
        <w:tc>
          <w:tcPr>
            <w:tcW w:w="3230"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Directly responsible for DPDP Act adherence; needs deep knowledge of obligations and penalties</w:t>
            </w:r>
          </w:p>
        </w:tc>
      </w:tr>
      <w:tr>
        <w:trPr/>
        <w:tc>
          <w:tcPr>
            <w:tcW w:w="2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Senior Leadership</w:t>
            </w:r>
          </w:p>
        </w:tc>
        <w:tc>
          <w:tcPr>
            <w:tcW w:w="3359"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CTO, CDO, Head of Compliance, Senior Managers</w:t>
            </w:r>
          </w:p>
        </w:tc>
        <w:tc>
          <w:tcPr>
            <w:tcW w:w="3230" w:type="dxa"/>
            <w:tcBorders/>
          </w:tcPr>
          <w:p>
            <w:pPr>
              <w:pStyle w:val="BlockText"/>
              <w:widowControl/>
              <w:spacing w:before="100" w:after="1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Accountable as Data Fiduciaries; need strategic awareness and risk framing</w:t>
            </w:r>
            <w:bookmarkStart w:id="27" w:name="stakeholder-identification"/>
            <w:bookmarkStart w:id="28" w:name="technology-side-stakeholders"/>
            <w:bookmarkEnd w:id="27"/>
            <w:bookmarkEnd w:id="28"/>
          </w:p>
        </w:tc>
      </w:tr>
    </w:tbl>
    <w:p>
      <w:pPr>
        <w:pStyle w:val="Heading1"/>
        <w:rPr/>
      </w:pPr>
      <w:r>
        <w:rPr/>
        <w:t>Primary Research Preparation</w:t>
      </w:r>
    </w:p>
    <w:p>
      <w:pPr>
        <w:pStyle w:val="FirstParagraph"/>
        <w:rPr/>
      </w:pPr>
      <w:r>
        <w:rPr/>
        <w:t>To understand stakeholder awareness and learning needs, structured interviews will be conducted</w:t>
      </w:r>
    </w:p>
    <w:p>
      <w:pPr>
        <w:pStyle w:val="BodyText"/>
        <w:rPr/>
      </w:pPr>
      <w:r>
        <w:rPr/>
        <w:t>The interviews will focus on:</w:t>
      </w:r>
    </w:p>
    <w:p>
      <w:pPr>
        <w:pStyle w:val="Normal"/>
        <w:numPr>
          <w:ilvl w:val="0"/>
          <w:numId w:val="59"/>
        </w:numPr>
        <w:rPr/>
      </w:pPr>
      <w:r>
        <w:rPr/>
        <w:t>Awareness of the DPDP Act</w:t>
      </w:r>
    </w:p>
    <w:p>
      <w:pPr>
        <w:pStyle w:val="Normal"/>
        <w:numPr>
          <w:ilvl w:val="0"/>
          <w:numId w:val="60"/>
        </w:numPr>
        <w:rPr/>
      </w:pPr>
      <w:r>
        <w:rPr/>
        <w:t>Current data handling practices</w:t>
      </w:r>
    </w:p>
    <w:p>
      <w:pPr>
        <w:pStyle w:val="Normal"/>
        <w:numPr>
          <w:ilvl w:val="0"/>
          <w:numId w:val="61"/>
        </w:numPr>
        <w:rPr/>
      </w:pPr>
      <w:r>
        <w:rPr/>
        <w:t>Challenges in understanding data privacy regulations</w:t>
      </w:r>
    </w:p>
    <w:p>
      <w:pPr>
        <w:pStyle w:val="Normal"/>
        <w:numPr>
          <w:ilvl w:val="0"/>
          <w:numId w:val="62"/>
        </w:numPr>
        <w:rPr/>
      </w:pPr>
      <w:r>
        <w:rPr/>
        <w:t>Preferred learning methods</w:t>
      </w:r>
    </w:p>
    <w:p>
      <w:pPr>
        <w:pStyle w:val="FirstParagraph"/>
        <w:rPr/>
      </w:pPr>
      <w:r>
        <w:rPr/>
        <w:t>Insights from these interviews will guide the design of the gamified learning solution.</w:t>
      </w:r>
    </w:p>
    <w:p>
      <w:pPr>
        <w:pStyle w:val="Heading2"/>
        <w:rPr/>
      </w:pPr>
      <w:bookmarkStart w:id="29" w:name="X0b5fc09fb641da14815bca0cb461595dca51842"/>
      <w:r>
        <w:rPr/>
        <w:t>Interview Protocol - 33 Questions Across 6 Sections</w:t>
      </w:r>
    </w:p>
    <w:p>
      <w:pPr>
        <w:pStyle w:val="FirstParagraph"/>
        <w:rPr/>
      </w:pPr>
      <w:bookmarkStart w:id="30" w:name="X0b5fc09fb641da14815bca0cb461595dca51842"/>
      <w:r>
        <w:rPr/>
        <w:t>A structured 33-question interview protocol was developed across six thematic sections: (A) DPDP Awareness &amp; Current Understanding baseline from 'heard of it' to 'deeply knowledgeable'; (B) Practical Application &amp; Knowledge Gaps real-world decision-making under ambiguity; (C) Learning Preferences &amp; Engagement Styles preferred modalities and gamification openness; (D) Domain-Specific Risk Perception quantifying and qualifying risk awareness; (E) Gamification Design Input co-creating mechanics and scenario ideas with stakeholders; (F) Day-to-Day Data Realities surfacing lived experience beyond stated policy awareness.</w:t>
      </w:r>
      <w:bookmarkEnd w:id="30"/>
    </w:p>
    <w:p>
      <w:pPr>
        <w:pStyle w:val="Heading2"/>
        <w:rPr/>
      </w:pPr>
      <w:bookmarkStart w:id="31" w:name="interview-insight-report"/>
      <w:r>
        <w:rPr/>
        <w:t>Interview Insight Report</w:t>
      </w:r>
      <w:bookmarkEnd w:id="31"/>
    </w:p>
    <w:p>
      <w:pPr>
        <w:pStyle w:val="Heading2"/>
        <w:rPr/>
      </w:pPr>
      <w:r>
        <w:rPr/>
        <w:t>Overview</w:t>
      </w:r>
    </w:p>
    <w:p>
      <w:pPr>
        <w:pStyle w:val="FirstParagraph"/>
        <w:rPr/>
      </w:pPr>
      <w:r>
        <w:rPr/>
        <w:t>Seven in-depth stakeholder interviews were conducted across three cohorts Business Operations, Technology Infrastructure, and Compliance &amp; Legal to assess DPDP awareness, surface non-compliant practices, and identify data privacy use cases for game design.</w:t>
      </w:r>
    </w:p>
    <w:tbl>
      <w:tblPr>
        <w:tblStyle w:val="Table"/>
        <w:tblW w:w="485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1978"/>
        <w:gridCol w:w="1979"/>
        <w:gridCol w:w="1630"/>
        <w:gridCol w:w="3491"/>
      </w:tblGrid>
      <w:tr>
        <w:trPr/>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Cohort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w:t>
            </w:r>
          </w:p>
        </w:tc>
        <w:tc>
          <w:tcPr>
            <w:tcW w:w="1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Avg Awareness</w:t>
            </w:r>
          </w:p>
        </w:tc>
        <w:tc>
          <w:tcPr>
            <w:tcW w:w="3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Gap Identified</w:t>
            </w:r>
          </w:p>
        </w:tc>
      </w:tr>
      <w:tr>
        <w:trPr/>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Operations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Actuary, Underwriter, Claims Manager, Agent</w:t>
            </w:r>
          </w:p>
        </w:tc>
        <w:tc>
          <w:tcPr>
            <w:tcW w:w="1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3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Over-collection of health data; medical records shared under blanket consent</w:t>
            </w:r>
          </w:p>
        </w:tc>
      </w:tr>
      <w:tr>
        <w:trPr/>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Technology Infrastructure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Designer, Engineer, Data Scientist</w:t>
            </w:r>
          </w:p>
        </w:tc>
        <w:tc>
          <w:tcPr>
            <w:tcW w:w="1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3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Pre-checked/bundled consent UIs; legacy systems cannot honour erasure requests</w:t>
            </w:r>
          </w:p>
        </w:tc>
      </w:tr>
      <w:tr>
        <w:trPr/>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Compliance &amp; Legal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CCO, Risk Manager, Legal</w:t>
            </w:r>
          </w:p>
        </w:tc>
        <w:tc>
          <w:tcPr>
            <w:tcW w:w="1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4.0/5</w:t>
            </w:r>
          </w:p>
        </w:tc>
        <w:tc>
          <w:tcPr>
            <w:tcW w:w="3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personal knowledge but near-zero cascade to operational staff; 94% training completion, zero behavioural change</w:t>
            </w:r>
            <w:bookmarkStart w:id="32" w:name="overview"/>
            <w:bookmarkEnd w:id="32"/>
          </w:p>
        </w:tc>
      </w:tr>
    </w:tbl>
    <w:p>
      <w:pPr>
        <w:pStyle w:val="Heading2"/>
        <w:rPr/>
      </w:pPr>
      <w:r>
        <w:rPr/>
        <w:t>Five Structural Findings</w:t>
      </w:r>
    </w:p>
    <w:p>
      <w:pPr>
        <w:pStyle w:val="Normal"/>
        <w:numPr>
          <w:ilvl w:val="0"/>
          <w:numId w:val="63"/>
        </w:numPr>
        <w:rPr/>
      </w:pPr>
      <w:r>
        <w:rPr/>
        <w:t>Finding 1 — Awareness is wide but shallow: All interviewees have heard of DPDP. None can articulate specific role-level obligations without prompting. Average self-rated awareness: 3.0/5.</w:t>
      </w:r>
    </w:p>
    <w:p>
      <w:pPr>
        <w:pStyle w:val="Normal"/>
        <w:numPr>
          <w:ilvl w:val="0"/>
          <w:numId w:val="64"/>
        </w:numPr>
        <w:rPr/>
      </w:pPr>
      <w:r>
        <w:rPr/>
        <w:t>Finding 2 — Consent is the most misunderstood concept: Six of seven conflate blanket/bundled consent with lawful consent. Granular, purpose-specific consent is universally underestimated.</w:t>
      </w:r>
    </w:p>
    <w:p>
      <w:pPr>
        <w:pStyle w:val="Normal"/>
        <w:numPr>
          <w:ilvl w:val="0"/>
          <w:numId w:val="65"/>
        </w:numPr>
        <w:rPr/>
      </w:pPr>
      <w:r>
        <w:rPr/>
        <w:t>Finding 3 — Data minimization is the largest blind spot: Actuaries, data scientists and claims teams frame over-collection as best practice, not a compliance violation.</w:t>
      </w:r>
    </w:p>
    <w:p>
      <w:pPr>
        <w:pStyle w:val="Normal"/>
        <w:numPr>
          <w:ilvl w:val="0"/>
          <w:numId w:val="66"/>
        </w:numPr>
        <w:rPr/>
      </w:pPr>
      <w:r>
        <w:rPr/>
        <w:t>Finding 4 — Breach response readiness is critically low: Only the CCO could describe the 72-hour notification obligation. Front-line staff have no incident response playbooks.</w:t>
      </w:r>
    </w:p>
    <w:p>
      <w:pPr>
        <w:pStyle w:val="Normal"/>
        <w:numPr>
          <w:ilvl w:val="0"/>
          <w:numId w:val="67"/>
        </w:numPr>
        <w:rPr/>
      </w:pPr>
      <w:r>
        <w:rPr/>
        <w:t>Finding 5 — Prior training produced near-zero behavioral change: Completion rates are high (94% reported). Retention and on-the-job application described as negligible by all interviewees.</w:t>
      </w:r>
    </w:p>
    <w:p>
      <w:pPr>
        <w:pStyle w:val="Heading2"/>
        <w:rPr/>
      </w:pPr>
      <w:r>
        <w:rPr/>
      </w:r>
      <w:bookmarkStart w:id="33" w:name="section-6"/>
      <w:bookmarkStart w:id="34" w:name="section-6"/>
      <w:bookmarkEnd w:id="34"/>
    </w:p>
    <w:p>
      <w:pPr>
        <w:pStyle w:val="Heading2"/>
        <w:rPr/>
      </w:pPr>
      <w:r>
        <w:rPr/>
        <w:t>Data Privacy Use Cases Surfaced</w:t>
      </w:r>
    </w:p>
    <w:tbl>
      <w:tblPr>
        <w:tblStyle w:val="Table"/>
        <w:tblW w:w="485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95"/>
        <w:gridCol w:w="2104"/>
        <w:gridCol w:w="1217"/>
        <w:gridCol w:w="1662"/>
        <w:gridCol w:w="3101"/>
      </w:tblGrid>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 Level</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DPDP Section</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Mitigation</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UC01</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Health Record Over-Collection</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 — Data Minimisation</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Necessity Checklist per product; documented proportionality justification</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UC02</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TPA Medical Data Sharing — Blanket Consent</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 — Consent; S.7 — Notice</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Granular purpose-specific consent per third party; secure file transfer; DLP scanning</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UC03</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Scripted Blanket Consent at Onboarding</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 — Informed Consent</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Plain-language verbal walkthrough in agent scripts; prohibit personal messaging channels</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UC04</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72-Hour Breach Reporting Gap</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S.8(6) — Breach Notification</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Incident Response Quick-Card for team leads; named Breach Notification Owner per BU</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UC05</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Non-Compliant Consent UI — Dark Patterns</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 — Uninstructed Consent</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DPDP UX Compliance Checklist as pre-production gate; retrospective Privacy UI Audit</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UC06</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System — Data Erasure Incapability</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S.8(7) Erasure; S.12 Rights</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 erasure with quarantine tagging; mainframe modernisation as DPDP-mandated priority</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UC07</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Analytics Warehouse — No Purpose Limitation</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 — Purpose Limitation</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Purpose-tagging at ETL layer; automated query guards blocking out-of-scope access</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UC08</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 Model — Feature Over-Collection &amp; Secondary Use</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 — Minimisation &amp; Purpose</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Privacy Scoring; separate consent documentation per model; suspend enrichment feeds</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UC09</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Cross-Functional Consent Chain Breakdown</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S.6, 7, 8 — Full Chain</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Consent Flow Map; Consent Scope Registry accessible to all functions</w:t>
            </w:r>
          </w:p>
        </w:tc>
      </w:tr>
      <w:tr>
        <w:trPr/>
        <w:tc>
          <w:tcPr>
            <w:tcW w:w="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UC10</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Process for Data Principal Rights Requests</w:t>
            </w:r>
          </w:p>
        </w:tc>
        <w:tc>
          <w:tcPr>
            <w:tcW w:w="1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S.11–13 — Access, Correction, Erasure</w:t>
            </w:r>
          </w:p>
        </w:tc>
        <w:tc>
          <w:tcPr>
            <w:tcW w:w="3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Principal Rights SOP with timelines; Rights Fulfilment Owner; tracking workflow</w:t>
            </w:r>
            <w:bookmarkStart w:id="35" w:name="data-privacy-use-cases-surfaced"/>
            <w:bookmarkEnd w:id="35"/>
          </w:p>
        </w:tc>
      </w:tr>
    </w:tbl>
    <w:p>
      <w:pPr>
        <w:pStyle w:val="Heading2"/>
        <w:rPr/>
      </w:pPr>
      <w:r>
        <w:rPr/>
        <w:t>Design Implications for the Game</w:t>
      </w:r>
    </w:p>
    <w:p>
      <w:pPr>
        <w:pStyle w:val="Normal"/>
        <w:numPr>
          <w:ilvl w:val="0"/>
          <w:numId w:val="68"/>
        </w:numPr>
        <w:rPr/>
      </w:pPr>
      <w:r>
        <w:rPr/>
        <w:t>Role-specific framing is essential — open each track with 'what DPDP means for your job specifically' across Business Ops, Technology, and Compliance tracks.</w:t>
      </w:r>
    </w:p>
    <w:p>
      <w:pPr>
        <w:pStyle w:val="Normal"/>
        <w:numPr>
          <w:ilvl w:val="0"/>
          <w:numId w:val="69"/>
        </w:numPr>
        <w:rPr/>
      </w:pPr>
      <w:r>
        <w:rPr/>
        <w:t>Consent and data minimisation must be the priority mechanics — most frequently misunderstood and most commonly violated across all cohorts.</w:t>
      </w:r>
    </w:p>
    <w:p>
      <w:pPr>
        <w:pStyle w:val="Normal"/>
        <w:numPr>
          <w:ilvl w:val="0"/>
          <w:numId w:val="70"/>
        </w:numPr>
        <w:rPr/>
      </w:pPr>
      <w:r>
        <w:rPr/>
        <w:t>Decision-forcing scenarios over knowledge recall — players must choose a course of action and experience the consequence, not select a correct definition.</w:t>
      </w:r>
    </w:p>
    <w:p>
      <w:pPr>
        <w:pStyle w:val="Normal"/>
        <w:numPr>
          <w:ilvl w:val="0"/>
          <w:numId w:val="71"/>
        </w:numPr>
        <w:rPr/>
      </w:pPr>
      <w:r>
        <w:rPr/>
        <w:t>The Cross-Functional Consent Chain (UC-09) is the highest-value design target — most systemic risk, least covered by existing training.</w:t>
      </w:r>
    </w:p>
    <w:p>
      <w:pPr>
        <w:pStyle w:val="Normal"/>
        <w:numPr>
          <w:ilvl w:val="0"/>
          <w:numId w:val="72"/>
        </w:numPr>
        <w:rPr/>
      </w:pPr>
      <w:r>
        <w:rPr/>
        <w:t>Breach response needs a time-pressure mechanic — a 72-hour clock scenario makes the notification obligation visceral and memorable.</w:t>
      </w:r>
    </w:p>
    <w:p>
      <w:pPr>
        <w:pStyle w:val="Heading2"/>
        <w:rPr/>
      </w:pPr>
      <w:bookmarkStart w:id="36" w:name="concept-proposal"/>
      <w:r>
        <w:rPr/>
        <w:t>Concept Proposal</w:t>
      </w:r>
      <w:bookmarkEnd w:id="36"/>
    </w:p>
    <w:p>
      <w:pPr>
        <w:pStyle w:val="Heading2"/>
        <w:rPr/>
      </w:pPr>
      <w:r>
        <w:rPr/>
        <w:t>Game Concept Sheet</w:t>
      </w:r>
    </w:p>
    <w:p>
      <w:pPr>
        <w:pStyle w:val="FirstParagraph"/>
        <w:rPr/>
      </w:pPr>
      <w:r>
        <w:rPr>
          <w:b/>
          <w:bCs/>
        </w:rPr>
        <w:t>Logline:</w:t>
      </w:r>
      <w:r>
        <w:rPr/>
        <w:t xml:space="preserve"> A multiplayer, Monopoly-style board game that teaches India’s Digital Personal Data Protection Act (DPDPA), 2023, themed around the Banking &amp; Insurance sector. Players compete as Chief Data Officers of fictional financial institutions, acquiring “Compliance Districts” by answering carefully designed MCQs and seeking to outlast their opponents through superior knowledge of data protection law.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Players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(multiplayer) or Solo (1 human + 1–3 CPU)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Session length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20–45 minutes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Board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tiles arranged on a 6×6 perimeter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condition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 the last player not bankrupt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Question bank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MCQs (90 core DPDPA + 90 Banking &amp; Insurance)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Format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Web-based 3D digital board game</w:t>
            </w:r>
            <w:bookmarkStart w:id="37" w:name="game-concept-sheet"/>
            <w:bookmarkEnd w:id="37"/>
          </w:p>
        </w:tc>
      </w:tr>
    </w:tbl>
    <w:p>
      <w:pPr>
        <w:pStyle w:val="Heading2"/>
        <w:rPr/>
      </w:pPr>
      <w:r>
        <w:rPr/>
        <w:t>Four Design Pillars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Pillar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Mechanic</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DPDP Concept Taught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Compliance Acquisition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Players buy “Compliance Districts” spanning 9 DPDPA theoretical principles.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Understanding core principles like Consent, Data Minimization, Lawful Processing.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Interactive Assessment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MCQs on unowned or opponent-owned properties.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 scenario-based knowledge across Banking &amp; Insurance contexts.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Real-World Penalties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statutory fines mapped mathematically to rent pricing and group bonuses.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severe financial impact of Hard Obligations (Security, Accountability) breaches.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Jail (DPB Hearing)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Regulatory suspension where fiduciaries cannot collect rent.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Regulatory enforcement realism—representing Data Protection Board hearings.</w:t>
            </w:r>
          </w:p>
        </w:tc>
      </w:tr>
    </w:tbl>
    <w:p>
      <w:pPr>
        <w:pStyle w:val="Heading2"/>
        <w:rPr/>
      </w:pPr>
      <w:bookmarkStart w:id="38" w:name="game-design-document"/>
      <w:r>
        <w:rPr/>
        <w:t>Game Design Document</w:t>
      </w:r>
      <w:bookmarkEnd w:id="38"/>
    </w:p>
    <w:p>
      <w:pPr>
        <w:pStyle w:val="Heading2"/>
        <w:rPr/>
      </w:pPr>
      <w:bookmarkStart w:id="39" w:name="Xff817e601c093625a727a3ba39789aea23fe362"/>
      <w:r>
        <w:rPr/>
        <w:t>Format Decision — Digital Multiplayer Board Game</w:t>
      </w:r>
    </w:p>
    <w:p>
      <w:pPr>
        <w:pStyle w:val="FirstParagraph"/>
        <w:rPr/>
      </w:pPr>
      <w:r>
        <w:rPr/>
        <w:t xml:space="preserve">The game was designed as a digital 3D multiplayer board game. The digital format was structured into these components: - </w:t>
      </w:r>
      <w:r>
        <w:rPr>
          <w:b/>
          <w:bCs/>
        </w:rPr>
        <w:t>Interactive UI</w:t>
      </w:r>
      <w:r>
        <w:rPr/>
        <w:t xml:space="preserve">: A WebGL/Three.js-powered 3D board displaying the 20 tiles, player tokens, and a tumbling 3D die. - </w:t>
      </w:r>
      <w:r>
        <w:rPr>
          <w:b/>
          <w:bCs/>
        </w:rPr>
        <w:t>Accessibility &amp; Reach</w:t>
      </w:r>
      <w:r>
        <w:rPr/>
        <w:t xml:space="preserve">: Browser-based gameplay with stable anonymous session IDs—no signup required. - </w:t>
      </w:r>
      <w:r>
        <w:rPr>
          <w:b/>
          <w:bCs/>
        </w:rPr>
        <w:t>Live Social Dynamics</w:t>
      </w:r>
      <w:r>
        <w:rPr/>
        <w:t xml:space="preserve">: Synchronized game state across clients using room codes, with real-time feedback on opponents’ decisions and financial standing. - </w:t>
      </w:r>
      <w:r>
        <w:rPr>
          <w:b/>
          <w:bCs/>
        </w:rPr>
        <w:t>Automated Mechanics</w:t>
      </w:r>
      <w:r>
        <w:rPr/>
        <w:t>: Automatic rent calculations, penalty enforcement, layer building (Compliance Layers), and MCQ distribution ensure rules are strictly followed without manual administration.</w:t>
      </w:r>
      <w:bookmarkEnd w:id="39"/>
    </w:p>
    <w:p>
      <w:pPr>
        <w:pStyle w:val="Heading2"/>
        <w:rPr/>
      </w:pPr>
      <w:bookmarkStart w:id="40" w:name="mechanics-overview"/>
      <w:r>
        <w:rPr/>
        <w:t>Mechanics Overview</w:t>
      </w:r>
    </w:p>
    <w:p>
      <w:pPr>
        <w:pStyle w:val="Heading3"/>
        <w:rPr/>
      </w:pPr>
      <w:bookmarkStart w:id="41" w:name="the-game-board"/>
      <w:r>
        <w:rPr/>
        <w:t>The Game Board</w:t>
      </w:r>
    </w:p>
    <w:p>
      <w:pPr>
        <w:pStyle w:val="FirstParagraph"/>
        <w:rPr/>
      </w:pPr>
      <w:r>
        <w:rPr/>
        <w:t xml:space="preserve">The board contains 20 tiles: - </w:t>
      </w:r>
      <w:r>
        <w:rPr>
          <w:b/>
          <w:bCs/>
        </w:rPr>
        <w:t>Start Corner:</w:t>
      </w:r>
      <w:r>
        <w:rPr/>
        <w:t xml:space="preserve"> Grants ₹200 credits for passing or landing on it. - </w:t>
      </w:r>
      <w:r>
        <w:rPr>
          <w:b/>
          <w:bCs/>
        </w:rPr>
        <w:t>9 Principle Tiles (Compliance Districts):</w:t>
      </w:r>
      <w:r>
        <w:rPr/>
        <w:t xml:space="preserve"> Mapped to the 9 major principles of DPDPA, grouped by color (e.g., Foundation, Consent Block, Data Lifecycle, Hard Obligations). Prices and rents scale realistically based on DPDP statutory penalties. - </w:t>
      </w:r>
      <w:r>
        <w:rPr>
          <w:b/>
          <w:bCs/>
        </w:rPr>
        <w:t>Regulator Cards:</w:t>
      </w:r>
      <w:r>
        <w:rPr/>
        <w:t xml:space="preserve"> Event spaces that draw from a 16-card deck covering audits, fines, cross-border transfers, etc. - </w:t>
      </w:r>
      <w:r>
        <w:rPr>
          <w:b/>
          <w:bCs/>
        </w:rPr>
        <w:t>Tax Tiles &amp; Free Audit:</w:t>
      </w:r>
      <w:r>
        <w:rPr/>
        <w:t xml:space="preserve"> Tax penalties are paid into a shared “Free Audit” pot, which can be claimed by landing on tile 5. - </w:t>
      </w:r>
      <w:r>
        <w:rPr>
          <w:b/>
          <w:bCs/>
        </w:rPr>
        <w:t>DPB Hearing:</w:t>
      </w:r>
      <w:r>
        <w:rPr/>
        <w:t xml:space="preserve"> A jail mechanic on tile 10. Can be entered by drawing specific event cards or hitting the “Go to DPB Hearing” corner.</w:t>
      </w:r>
      <w:bookmarkEnd w:id="41"/>
    </w:p>
    <w:p>
      <w:pPr>
        <w:pStyle w:val="Heading3"/>
        <w:rPr/>
      </w:pPr>
      <w:bookmarkStart w:id="42" w:name="the-question-mechanic"/>
      <w:r>
        <w:rPr/>
        <w:t>The Question Mechanic</w:t>
      </w:r>
    </w:p>
    <w:p>
      <w:pPr>
        <w:pStyle w:val="FirstParagraph"/>
        <w:rPr/>
      </w:pPr>
      <w:r>
        <w:rPr/>
        <w:t xml:space="preserve">Instead of a simple transaction to buy a property or pay a rent, players must prove their knowledge: - </w:t>
      </w:r>
      <w:r>
        <w:rPr>
          <w:b/>
          <w:bCs/>
        </w:rPr>
        <w:t>Buy Mode:</w:t>
      </w:r>
      <w:r>
        <w:rPr/>
        <w:t xml:space="preserve"> When landing on an unowned property, the player is asked an MCQ. Correct answers yield a ₹50 bounty and the right to buy the tile. - </w:t>
      </w:r>
      <w:r>
        <w:rPr>
          <w:b/>
          <w:bCs/>
        </w:rPr>
        <w:t>Rent Dispute Mode:</w:t>
      </w:r>
      <w:r>
        <w:rPr/>
        <w:t xml:space="preserve"> When landing on an opponent’s tile, the player answers an MCQ. A correct answer means an “audit passed,” and no rent is paid. Incorrect answers result in full rent payment to the owner.</w:t>
      </w:r>
      <w:bookmarkEnd w:id="42"/>
    </w:p>
    <w:p>
      <w:pPr>
        <w:pStyle w:val="Heading3"/>
        <w:rPr/>
      </w:pPr>
      <w:bookmarkStart w:id="43" w:name="rent-calculation-compliance-layers"/>
      <w:r>
        <w:rPr/>
        <w:t>Rent Calculation &amp; Compliance Layers</w:t>
      </w:r>
    </w:p>
    <w:p>
      <w:pPr>
        <w:pStyle w:val="FirstParagraph"/>
        <w:rPr/>
      </w:pPr>
      <w:bookmarkStart w:id="44" w:name="mechanics-overview"/>
      <w:bookmarkStart w:id="45" w:name="rent-calculation-compliance-layers"/>
      <w:r>
        <w:rPr/>
        <w:t>Players can build “Compliance Layers” (similar to houses) if they own a full color group. - Up to 3 layers can be built per tile. - Rent increases massively with layers. A player owning a full group with no layers charges double base rent. - Owners in a DPB Hearing collect no rent, matching the suspension of a data fiduciary’s operations.</w:t>
      </w:r>
      <w:bookmarkEnd w:id="44"/>
      <w:bookmarkEnd w:id="45"/>
    </w:p>
    <w:p>
      <w:pPr>
        <w:pStyle w:val="Heading2"/>
        <w:rPr/>
      </w:pPr>
      <w:r>
        <w:rPr/>
        <w:t>DPDP Concepts Mapped to Mechanics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DPDP Concept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Mechanic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Property Valuation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Hard Obligations” (like Security &amp; Integrity) cost more and charge higher rent than “Consent” tiles, reflecting the real-world ₹250 crore penalty vs ₹50 crore penalty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Audits &amp; Disputes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Rent can be avoided by answering an MCQ correctly, functioning as an “audit defense.” Ignorance forces the player to pay.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Consent &amp; Purpose Limitation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Questions randomly sourced from the 180-Question bank enforce knowledge of Banking &amp; Insurance use-cases involving consent architecture, dark patterns, and minimization.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Protection Board (DPB)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Players sent to the DPB Hearing lose their ability to collect rent and must wait to “escape” or pay a fine, simulating business delays and regulatory scrutiny.</w:t>
            </w:r>
            <w:bookmarkStart w:id="46" w:name="dpdp-concepts-mapped-to-mechanics"/>
            <w:bookmarkEnd w:id="46"/>
          </w:p>
        </w:tc>
      </w:tr>
    </w:tbl>
    <w:p>
      <w:pPr>
        <w:pStyle w:val="Heading2"/>
        <w:rPr/>
      </w:pPr>
      <w:r>
        <w:rPr/>
        <w:t>Win / Loss Conditions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Condition</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Elimination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Chief Data Officer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player remaining solvent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Bankruptcy:</w:t>
            </w:r>
            <w:r>
              <w:rPr>
                <w:rFonts w:eastAsia="Cambria" w:cs=""/>
                <w:kern w:val="0"/>
                <w:sz w:val="24"/>
                <w:szCs w:val="24"/>
                <w:lang w:val="en-US" w:eastAsia="en-US" w:bidi="ar-SA"/>
              </w:rPr>
              <w:t xml:space="preserve"> Credits drop below 0 due to an inability to pay rent, tax, or regulator fines. Assets are seized and returned to the bank.</w:t>
            </w:r>
          </w:p>
        </w:tc>
      </w:tr>
    </w:tbl>
    <w:p>
      <w:pPr>
        <w:pStyle w:val="Heading2"/>
        <w:rPr/>
      </w:pPr>
      <w:r>
        <w:rPr/>
        <w:t>Game QR and Game Link</w:t>
      </w:r>
    </w:p>
    <w:p>
      <w:pPr>
        <w:pStyle w:val="BodyText"/>
        <w:rPr/>
      </w:pPr>
      <w:r>
        <w:rPr/>
        <w:drawing>
          <wp:anchor behindDoc="0" distT="0" distB="0" distL="0" distR="0" simplePos="0" locked="0" layoutInCell="0" allowOverlap="1" relativeHeight="2">
            <wp:simplePos x="0" y="0"/>
            <wp:positionH relativeFrom="column">
              <wp:posOffset>171450</wp:posOffset>
            </wp:positionH>
            <wp:positionV relativeFrom="paragraph">
              <wp:posOffset>312420</wp:posOffset>
            </wp:positionV>
            <wp:extent cx="1715135" cy="1771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715135" cy="1771015"/>
                    </a:xfrm>
                    <a:prstGeom prst="rect">
                      <a:avLst/>
                    </a:prstGeom>
                  </pic:spPr>
                </pic:pic>
              </a:graphicData>
            </a:graphic>
          </wp:anchor>
        </w:drawing>
      </w:r>
    </w:p>
    <w:p>
      <w:pPr>
        <w:pStyle w:val="BodyText"/>
        <w:rPr/>
      </w:pPr>
      <w:r>
        <w:rPr/>
      </w:r>
    </w:p>
    <w:p>
      <w:pPr>
        <w:pStyle w:val="BodyText"/>
        <w:rPr/>
      </w:pPr>
      <w:r>
        <w:rPr/>
      </w:r>
    </w:p>
    <w:p>
      <w:pPr>
        <w:pStyle w:val="FirstParagraph"/>
        <w:spacing w:before="180" w:after="180"/>
        <w:rPr/>
      </w:pPr>
      <w:r>
        <w:rPr/>
        <w:t xml:space="preserve">              </w:t>
      </w:r>
      <w:hyperlink r:id="rId3">
        <w:r>
          <w:rPr>
            <w:rStyle w:val="Hyperlink"/>
          </w:rPr>
          <w:t>https://dataviz-nine-eta.vercel.app/</w:t>
        </w:r>
      </w:hyperlink>
      <w:hyperlink r:id="rId4">
        <w:r>
          <w:rPr/>
          <w:t xml:space="preserve"> </w:t>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6"/>
    <w:lvlOverride w:ilvl="0">
      <w:startOverride w:val="1"/>
    </w:lvlOverride>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ataviz-nine-eta.vercel.app/" TargetMode="External"/><Relationship Id="rId4" Type="http://schemas.openxmlformats.org/officeDocument/2006/relationships/hyperlink" Targe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15</Pages>
  <Words>2810</Words>
  <Characters>17560</Characters>
  <CharactersWithSpaces>20049</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2026-05-05T06:04:11Z</dcterms:created>
  <dc:creator/>
  <dc:description/>
  <dc:language>en-US</dc:language>
  <cp:lastModifiedBy/>
  <dcterms:modified xsi:type="dcterms:W3CDTF">2026-05-05T12:32:13Z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