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Calibri" w:hAnsi="Calibri"/>
          <w:b/>
          <w:color w:val="0B2240"/>
          <w:sz w:val="32"/>
        </w:rPr>
        <w:t>IFMS Delhi — Revenue Reconciliation &amp; Management Module</w:t>
      </w:r>
    </w:p>
    <w:p>
      <w:pPr>
        <w:spacing w:before="0" w:after="20"/>
      </w:pPr>
      <w:r>
        <w:rPr>
          <w:rFonts w:ascii="Calibri" w:hAnsi="Calibri"/>
          <w:b/>
          <w:color w:val="026AA2"/>
          <w:sz w:val="24"/>
        </w:rPr>
        <w:t>Form-wise Database Object Mapping, Lookup Architecture &amp; Gap Audit</w:t>
      </w:r>
    </w:p>
    <w:p>
      <w:pPr>
        <w:spacing w:before="0" w:after="40"/>
      </w:pPr>
      <w:r>
        <w:rPr>
          <w:rFonts w:ascii="Calibri" w:hAnsi="Calibri"/>
          <w:i/>
          <w:color w:val="475467"/>
          <w:sz w:val="19"/>
        </w:rPr>
        <w:t>Cross-reference of Front-End Screens, Modals, Action Drawers, and Lookup Dropdowns against PostgreSQL Physical Design</w:t>
      </w:r>
    </w:p>
    <w:p>
      <w:pPr>
        <w:spacing w:before="0" w:after="160"/>
      </w:pPr>
      <w:r>
        <w:rPr>
          <w:b/>
        </w:rPr>
        <w:t xml:space="preserve">Source (UI): </w:t>
      </w:r>
      <w:r>
        <w:t>frontend/src/pages/ (Dashboard, Collection, Upload, Recon, Exceptions, SLA/Penal, Refunds, Devolution, Accounting, Reports, Masters, AuditTrail, Citizen)</w:t>
        <w:br/>
      </w:r>
      <w:r>
        <w:rPr>
          <w:b/>
        </w:rPr>
        <w:t xml:space="preserve">Source (DB): </w:t>
      </w:r>
      <w:r>
        <w:t>PostgreSQL Database (schema: ifms_budget, prefixes: rev_*, branch, department, ddo, chart_of_account, account_voucher)</w:t>
        <w:br/>
      </w:r>
      <w:r>
        <w:rPr>
          <w:b/>
        </w:rPr>
        <w:t xml:space="preserve">Date Prepared: </w:t>
      </w:r>
      <w:r>
        <w:t>23 September 2026 | Version: 2.5 (Fully Formatted with Dedicated Lookup Mapping Column)</w:t>
      </w:r>
    </w:p>
    <w:p>
      <w:pPr>
        <w:spacing w:after="120"/>
      </w:pPr>
      <w:r>
        <w:rPr>
          <w:color w:val="D0D5DD"/>
        </w:rPr>
        <w:t>――――――――――――――――――――――――――――――――――――――――――――――――――――――――――――――――――――――――――――――</w:t>
      </w:r>
    </w:p>
    <w:p>
      <w:pPr>
        <w:spacing w:before="240" w:after="60"/>
      </w:pPr>
      <w:r>
        <w:rPr>
          <w:rFonts w:ascii="Calibri" w:hAnsi="Calibri"/>
          <w:b/>
          <w:color w:val="0B2240"/>
          <w:sz w:val="26"/>
        </w:rPr>
        <w:t>1. Executive Summary</w:t>
      </w:r>
    </w:p>
    <w:p>
      <w:r>
        <w:t>The IFMS Delhi Revenue Reconciliation &amp; Management Module provides an end-to-end statutory and operational solution for tax and non-tax revenue collection tracking, multi-portal staging, 3-way automated matching (Departmental Portals ↔ Agency Banks ↔ RBI CAS Luggage Scrolls), SLA breach detection with penal interest recovery, multi-action discrepancy resolution (Trace, 4 Solve Strategies, Official Bank Discrepancy Letter generation), 4-stage citizen revenue refund governance, local body revenue devolution calculation, double-entry general ledger voucher posting into the core IFMS Chart of Accounts, and comprehensive lookups architecture governing all dropdowns and selectors across the application.</w:t>
      </w:r>
    </w:p>
    <w:p>
      <w:r>
        <w:t>The frontend application comprises 42 distinct screens, tabs, action drawers, modal dialogs, and letter generators across 13 functional areas. The physical database schema (ifms_budget) provides 27 revenue-specific (rev_*) and core shared master tables, 6 materialized/standard views, 8 stored functions/sequences, 5 service calculation engines, 10 automated audit and sequence triggers, and 7 core domain status enums.</w:t>
      </w:r>
    </w:p>
    <w:p>
      <w:r>
        <w:t>Coverage by Screen / Component, based on the detailed mapping in Section 4:</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696"/>
        <w:gridCol w:w="3696"/>
        <w:gridCol w:w="3696"/>
      </w:tblGrid>
      <w:tr>
        <w:tc>
          <w:tcPr>
            <w:tcW w:type="dxa" w:w="7200"/>
            <w:shd w:fill="0B2240"/>
            <w:tcMar>
              <w:top w:w="90" w:type="dxa"/>
              <w:bottom w:w="90" w:type="dxa"/>
              <w:left w:w="120" w:type="dxa"/>
              <w:right w:w="120" w:type="dxa"/>
            </w:tcMar>
            <w:vAlign w:val="center"/>
          </w:tcPr>
          <w:p>
            <w:pPr>
              <w:spacing w:before="40" w:after="40"/>
            </w:pPr>
            <w:r>
              <w:rPr>
                <w:rFonts w:ascii="Calibri" w:hAnsi="Calibri"/>
                <w:b/>
                <w:color w:val="FFFFFF"/>
                <w:sz w:val="18"/>
              </w:rPr>
              <w:t>Coverage Status</w:t>
            </w:r>
          </w:p>
        </w:tc>
        <w:tc>
          <w:tcPr>
            <w:tcW w:type="dxa" w:w="1872"/>
            <w:shd w:fill="0B2240"/>
            <w:tcMar>
              <w:top w:w="90" w:type="dxa"/>
              <w:bottom w:w="90" w:type="dxa"/>
              <w:left w:w="120" w:type="dxa"/>
              <w:right w:w="120" w:type="dxa"/>
            </w:tcMar>
            <w:vAlign w:val="center"/>
          </w:tcPr>
          <w:p>
            <w:pPr>
              <w:spacing w:before="40" w:after="40"/>
            </w:pPr>
            <w:r>
              <w:rPr>
                <w:rFonts w:ascii="Calibri" w:hAnsi="Calibri"/>
                <w:b/>
                <w:color w:val="FFFFFF"/>
                <w:sz w:val="18"/>
              </w:rPr>
              <w:t>Screens</w:t>
            </w:r>
          </w:p>
        </w:tc>
        <w:tc>
          <w:tcPr>
            <w:tcW w:type="dxa" w:w="2016"/>
            <w:shd w:fill="0B2240"/>
            <w:tcMar>
              <w:top w:w="90" w:type="dxa"/>
              <w:bottom w:w="90" w:type="dxa"/>
              <w:left w:w="120" w:type="dxa"/>
              <w:right w:w="120" w:type="dxa"/>
            </w:tcMar>
            <w:vAlign w:val="center"/>
          </w:tcPr>
          <w:p>
            <w:pPr>
              <w:spacing w:before="40" w:after="40"/>
            </w:pPr>
            <w:r>
              <w:rPr>
                <w:rFonts w:ascii="Calibri" w:hAnsi="Calibri"/>
                <w:b/>
                <w:color w:val="FFFFFF"/>
                <w:sz w:val="18"/>
              </w:rPr>
              <w:t>% of Total</w:t>
            </w:r>
          </w:p>
        </w:tc>
      </w:tr>
      <w:tr>
        <w:tc>
          <w:tcPr>
            <w:tcW w:type="dxa" w:w="7200"/>
            <w:shd w:fill="FFFFFF"/>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 — Screen's data, transactions, actions, and lookups are 100% backed by DB objects</w:t>
            </w:r>
          </w:p>
        </w:tc>
        <w:tc>
          <w:tcPr>
            <w:tcW w:type="dxa" w:w="1872"/>
            <w:shd w:fill="FFFFFF"/>
            <w:tcMar>
              <w:top w:w="60" w:type="dxa"/>
              <w:bottom w:w="60" w:type="dxa"/>
              <w:left w:w="100" w:type="dxa"/>
              <w:right w:w="100" w:type="dxa"/>
            </w:tcMar>
            <w:vAlign w:val="top"/>
          </w:tcPr>
          <w:p>
            <w:pPr>
              <w:spacing w:before="30" w:after="30" w:line="252" w:lineRule="auto"/>
            </w:pPr>
            <w:r>
              <w:rPr>
                <w:rFonts w:ascii="Calibri" w:hAnsi="Calibri"/>
                <w:sz w:val="17"/>
              </w:rPr>
              <w:t>35</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83%</w:t>
            </w:r>
          </w:p>
        </w:tc>
      </w:tr>
      <w:tr>
        <w:tc>
          <w:tcPr>
            <w:tcW w:type="dxa" w:w="7200"/>
            <w:shd w:fill="F8FAFC"/>
            <w:tcMar>
              <w:top w:w="60" w:type="dxa"/>
              <w:bottom w:w="60" w:type="dxa"/>
              <w:left w:w="100" w:type="dxa"/>
              <w:right w:w="100" w:type="dxa"/>
            </w:tcMar>
            <w:vAlign w:val="center"/>
            <w:shd w:fill="FEF0C7"/>
          </w:tcPr>
          <w:p>
            <w:pPr>
              <w:spacing w:before="30" w:after="30" w:line="252" w:lineRule="auto"/>
            </w:pPr>
            <w:r>
              <w:rPr>
                <w:rFonts w:ascii="Calibri" w:hAnsi="Calibri"/>
                <w:b/>
                <w:color w:val="B54708"/>
                <w:sz w:val="17"/>
              </w:rPr>
              <w:t>Partial — Core table/view exists; advanced audit or secondary drawer filter mapped via service</w:t>
            </w:r>
          </w:p>
        </w:tc>
        <w:tc>
          <w:tcPr>
            <w:tcW w:type="dxa" w:w="1872"/>
            <w:shd w:fill="F8FAFC"/>
            <w:tcMar>
              <w:top w:w="60" w:type="dxa"/>
              <w:bottom w:w="60" w:type="dxa"/>
              <w:left w:w="100" w:type="dxa"/>
              <w:right w:w="100" w:type="dxa"/>
            </w:tcMar>
            <w:vAlign w:val="top"/>
          </w:tcPr>
          <w:p>
            <w:pPr>
              <w:spacing w:before="30" w:after="30" w:line="252" w:lineRule="auto"/>
            </w:pPr>
            <w:r>
              <w:rPr>
                <w:rFonts w:ascii="Calibri" w:hAnsi="Calibri"/>
                <w:sz w:val="17"/>
              </w:rPr>
              <w:t>6</w:t>
            </w:r>
          </w:p>
        </w:tc>
        <w:tc>
          <w:tcPr>
            <w:tcW w:type="dxa" w:w="2016"/>
            <w:shd w:fill="F8FAFC"/>
            <w:tcMar>
              <w:top w:w="60" w:type="dxa"/>
              <w:bottom w:w="60" w:type="dxa"/>
              <w:left w:w="100" w:type="dxa"/>
              <w:right w:w="100" w:type="dxa"/>
            </w:tcMar>
            <w:vAlign w:val="top"/>
          </w:tcPr>
          <w:p>
            <w:pPr>
              <w:spacing w:before="30" w:after="30" w:line="252" w:lineRule="auto"/>
            </w:pPr>
            <w:r>
              <w:rPr>
                <w:rFonts w:ascii="Calibri" w:hAnsi="Calibri"/>
                <w:sz w:val="17"/>
              </w:rPr>
              <w:t>14%</w:t>
            </w:r>
          </w:p>
        </w:tc>
      </w:tr>
      <w:tr>
        <w:tc>
          <w:tcPr>
            <w:tcW w:type="dxa" w:w="7200"/>
            <w:shd w:fill="FFFFFF"/>
            <w:tcMar>
              <w:top w:w="60" w:type="dxa"/>
              <w:bottom w:w="60" w:type="dxa"/>
              <w:left w:w="100" w:type="dxa"/>
              <w:right w:w="100" w:type="dxa"/>
            </w:tcMar>
            <w:vAlign w:val="center"/>
            <w:shd w:fill="FEE4E2"/>
          </w:tcPr>
          <w:p>
            <w:pPr>
              <w:spacing w:before="30" w:after="30" w:line="252" w:lineRule="auto"/>
            </w:pPr>
            <w:r>
              <w:rPr>
                <w:rFonts w:ascii="Calibri" w:hAnsi="Calibri"/>
                <w:b/>
                <w:color w:val="B42318"/>
                <w:sz w:val="17"/>
              </w:rPr>
              <w:t>Not Covered — No backing database object exists (zero unmapped screens in Revenue module)</w:t>
            </w:r>
          </w:p>
        </w:tc>
        <w:tc>
          <w:tcPr>
            <w:tcW w:type="dxa" w:w="1872"/>
            <w:shd w:fill="FFFFFF"/>
            <w:tcMar>
              <w:top w:w="60" w:type="dxa"/>
              <w:bottom w:w="60" w:type="dxa"/>
              <w:left w:w="100" w:type="dxa"/>
              <w:right w:w="100" w:type="dxa"/>
            </w:tcMar>
            <w:vAlign w:val="top"/>
          </w:tcPr>
          <w:p>
            <w:pPr>
              <w:spacing w:before="30" w:after="30" w:line="252" w:lineRule="auto"/>
            </w:pPr>
            <w:r>
              <w:rPr>
                <w:rFonts w:ascii="Calibri" w:hAnsi="Calibri"/>
                <w:sz w:val="17"/>
              </w:rPr>
              <w:t>0</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0%</w:t>
            </w:r>
          </w:p>
        </w:tc>
      </w:tr>
      <w:tr>
        <w:tc>
          <w:tcPr>
            <w:tcW w:type="dxa" w:w="7200"/>
            <w:shd w:fill="F8FAFC"/>
            <w:tcMar>
              <w:top w:w="60" w:type="dxa"/>
              <w:bottom w:w="60" w:type="dxa"/>
              <w:left w:w="100" w:type="dxa"/>
              <w:right w:w="100" w:type="dxa"/>
            </w:tcMar>
            <w:vAlign w:val="center"/>
            <w:shd w:fill="EAECF0"/>
          </w:tcPr>
          <w:p>
            <w:pPr>
              <w:spacing w:before="30" w:after="30" w:line="252" w:lineRule="auto"/>
            </w:pPr>
            <w:r>
              <w:rPr>
                <w:rFonts w:ascii="Calibri" w:hAnsi="Calibri"/>
                <w:b/>
                <w:color w:val="344054"/>
                <w:sz w:val="17"/>
              </w:rPr>
              <w:t>Out of Scope / Shared Core Master — Screen relies on IFMS shared organization &amp; user master tables</w:t>
            </w:r>
          </w:p>
        </w:tc>
        <w:tc>
          <w:tcPr>
            <w:tcW w:type="dxa" w:w="1872"/>
            <w:shd w:fill="F8FAFC"/>
            <w:tcMar>
              <w:top w:w="60" w:type="dxa"/>
              <w:bottom w:w="60" w:type="dxa"/>
              <w:left w:w="100" w:type="dxa"/>
              <w:right w:w="100" w:type="dxa"/>
            </w:tcMar>
            <w:vAlign w:val="top"/>
          </w:tcPr>
          <w:p>
            <w:pPr>
              <w:spacing w:before="30" w:after="30" w:line="252" w:lineRule="auto"/>
            </w:pPr>
            <w:r>
              <w:rPr>
                <w:rFonts w:ascii="Calibri" w:hAnsi="Calibri"/>
                <w:sz w:val="17"/>
              </w:rPr>
              <w:t>1</w:t>
            </w:r>
          </w:p>
        </w:tc>
        <w:tc>
          <w:tcPr>
            <w:tcW w:type="dxa" w:w="2016"/>
            <w:shd w:fill="F8FAFC"/>
            <w:tcMar>
              <w:top w:w="60" w:type="dxa"/>
              <w:bottom w:w="60" w:type="dxa"/>
              <w:left w:w="100" w:type="dxa"/>
              <w:right w:w="100" w:type="dxa"/>
            </w:tcMar>
            <w:vAlign w:val="top"/>
          </w:tcPr>
          <w:p>
            <w:pPr>
              <w:spacing w:before="30" w:after="30" w:line="252" w:lineRule="auto"/>
            </w:pPr>
            <w:r>
              <w:rPr>
                <w:rFonts w:ascii="Calibri" w:hAnsi="Calibri"/>
                <w:sz w:val="17"/>
              </w:rPr>
              <w:t>3%</w:t>
            </w:r>
          </w:p>
        </w:tc>
      </w:tr>
    </w:tbl>
    <w:p>
      <w:pPr>
        <w:spacing w:before="120"/>
      </w:pPr>
      <w:r>
        <w:rPr>
          <w:b/>
        </w:rPr>
        <w:t>Headline Architectural &amp; Schema Findings:</w:t>
      </w:r>
    </w:p>
    <w:p>
      <w:pPr>
        <w:pStyle w:val="ListParagraph"/>
        <w:spacing w:before="20" w:after="40"/>
      </w:pPr>
      <w:r>
        <w:rPr>
          <w:b/>
        </w:rPr>
        <w:t xml:space="preserve">3-Way Reconciliation Core: </w:t>
      </w:r>
      <w:r>
        <w:t>Complete 3-way multi-entity matching between rev_portal_transaction_staging (Portal), rev_agency_bank_scroll_staging (Bank), and rev_rbi_luggage_staging (RBI CAS) managed via rev_recon_result, rev_recon_run, and rev_recon_leg_linkage.</w:t>
      </w:r>
    </w:p>
    <w:p>
      <w:pPr>
        <w:pStyle w:val="ListParagraph"/>
        <w:spacing w:before="20" w:after="40"/>
      </w:pPr>
      <w:r>
        <w:rPr>
          <w:b/>
        </w:rPr>
        <w:t xml:space="preserve">Multi-Action Discrepancy Pipeline: </w:t>
      </w:r>
      <w:r>
        <w:t>Every discrepancy row across the application provides dedicated 'Open' (details), 'Trace' (timeline and raw payload linkage), 'Solve' (4 strategies: Manual Match Override, Post to Suspense, Mark Resolved, Issue Notice), and 'Letter' (Official Bank Notice generation with isolated print styling).</w:t>
      </w:r>
    </w:p>
    <w:p>
      <w:pPr>
        <w:pStyle w:val="ListParagraph"/>
        <w:spacing w:before="20" w:after="40"/>
      </w:pPr>
      <w:r>
        <w:rPr>
          <w:b/>
        </w:rPr>
        <w:t xml:space="preserve">Dynamic Sequence Generation: </w:t>
      </w:r>
      <w:r>
        <w:t>All primary IDs and reference documents are dynamically sequenced using deterministic prefixes and timestamps: REV-TXN-YYYYMMDD-XXXXXX (Receipts), REC-YYYYMMDD-XXXXXX (Recon Items), RES-YYYYMMDD-XXXXXX (Resolutions), LTR-DISC-YYYYMMDD-XXXXXX (Discrepancy Letters), CLM-YYYYMMDD-XXXXXX (Penal Claims), REF-YYYYMMDD-XXXXXX (Refund Cases), DEV-ADV-YYYYMMDD-XXXXXX (Devolution Advices), and REV-VOUCH-YYYYMMDD-XXXXXX (GL Vouchers).</w:t>
      </w:r>
    </w:p>
    <w:p>
      <w:pPr>
        <w:pStyle w:val="ListParagraph"/>
        <w:spacing w:before="20" w:after="40"/>
      </w:pPr>
      <w:r>
        <w:rPr>
          <w:b/>
        </w:rPr>
        <w:t xml:space="preserve">Comprehensive Lookups Master Architecture: </w:t>
      </w:r>
      <w:r>
        <w:t>All 20+ UI dropdown domains (Match Statuses, Resolution Types, Revenue Sources, Departments, PAOs, Banks, Modes, Severities, Refund Stages, Devolution Bodies, Roles) are governed through dedicated lookup registries and database master tables, eliminating hardcoded string coupling.</w:t>
      </w:r>
    </w:p>
    <w:p>
      <w:pPr>
        <w:pStyle w:val="ListParagraph"/>
        <w:spacing w:before="20" w:after="40"/>
      </w:pPr>
      <w:r>
        <w:rPr>
          <w:b/>
        </w:rPr>
        <w:t xml:space="preserve">CDC Audit Trail &amp; Governance: </w:t>
      </w:r>
      <w:r>
        <w:t>Row-level Change Data Capture is recorded in audit_change_log for every INSERT, UPDATE, and DELETE on financial tables with full JSON old/new snapshots and transactional txid tracking.</w:t>
      </w:r>
    </w:p>
    <w:p>
      <w:pPr>
        <w:spacing w:before="240" w:after="60"/>
      </w:pPr>
      <w:r>
        <w:rPr>
          <w:rFonts w:ascii="Calibri" w:hAnsi="Calibri"/>
          <w:b/>
          <w:color w:val="0B2240"/>
          <w:sz w:val="26"/>
        </w:rPr>
        <w:t>2. Methodology</w:t>
      </w:r>
    </w:p>
    <w:p>
      <w:r>
        <w:t>The front-end application (Single Page Application of ~12,000 lines across TypeScript/React components) was parsed to enumerate every route registered in its PAGES router and NAV menu, and to extract the data models, grid columns, filter criteria, dropdown selector lists, modal actions, and workflow triggers rendered by each screen. The physical database schema (ifms_budget) was audited in full to enumerate every CREATE TABLE / VIEW / FUNCTION / PROCEDURE / TRIGGER / SEQUENCE / ENUM statement, its columns, foreign keys, check constraints, and indexes. Each resulting screen was then matched against the database objects and lookup sources whose columns/purpose correspond to the fields and actions shown, and any field, action, or register with no corresponding column, table, view, or function was logged as a gap.</w:t>
      </w:r>
    </w:p>
    <w:p>
      <w:pPr>
        <w:spacing w:before="240" w:after="60"/>
      </w:pPr>
      <w:r>
        <w:rPr>
          <w:rFonts w:ascii="Calibri" w:hAnsi="Calibri"/>
          <w:b/>
          <w:color w:val="0B2240"/>
          <w:sz w:val="26"/>
        </w:rPr>
        <w:t>3. Database Object Inventory (as defined in ifms_budget schema)</w:t>
      </w:r>
    </w:p>
    <w:p>
      <w:pPr>
        <w:spacing w:before="180" w:after="40"/>
      </w:pPr>
      <w:r>
        <w:rPr>
          <w:rFonts w:ascii="Calibri" w:hAnsi="Calibri"/>
          <w:b/>
          <w:color w:val="026AA2"/>
          <w:sz w:val="22"/>
        </w:rPr>
        <w:t>3.1 Tables (27 Revenue Tables + Core Masters)</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544"/>
        <w:gridCol w:w="5544"/>
      </w:tblGrid>
      <w:tr>
        <w:tc>
          <w:tcPr>
            <w:tcW w:type="dxa" w:w="3744"/>
            <w:shd w:fill="0B2240"/>
            <w:tcMar>
              <w:top w:w="90" w:type="dxa"/>
              <w:bottom w:w="90" w:type="dxa"/>
              <w:left w:w="120" w:type="dxa"/>
              <w:right w:w="120" w:type="dxa"/>
            </w:tcMar>
            <w:vAlign w:val="center"/>
          </w:tcPr>
          <w:p>
            <w:pPr>
              <w:spacing w:before="40" w:after="40"/>
            </w:pPr>
            <w:r>
              <w:rPr>
                <w:rFonts w:ascii="Calibri" w:hAnsi="Calibri"/>
                <w:b/>
                <w:color w:val="FFFFFF"/>
                <w:sz w:val="18"/>
              </w:rPr>
              <w:t>Table</w:t>
            </w:r>
          </w:p>
        </w:tc>
        <w:tc>
          <w:tcPr>
            <w:tcW w:type="dxa" w:w="7344"/>
            <w:shd w:fill="0B2240"/>
            <w:tcMar>
              <w:top w:w="90" w:type="dxa"/>
              <w:bottom w:w="90" w:type="dxa"/>
              <w:left w:w="120" w:type="dxa"/>
              <w:right w:w="120" w:type="dxa"/>
            </w:tcMar>
            <w:vAlign w:val="center"/>
          </w:tcPr>
          <w:p>
            <w:pPr>
              <w:spacing w:before="40" w:after="40"/>
            </w:pPr>
            <w:r>
              <w:rPr>
                <w:rFonts w:ascii="Calibri" w:hAnsi="Calibri"/>
                <w:b/>
                <w:color w:val="FFFFFF"/>
                <w:sz w:val="18"/>
              </w:rPr>
              <w:t>Purpose</w:t>
            </w:r>
          </w:p>
        </w:tc>
      </w:tr>
      <w:tr>
        <w:tc>
          <w:tcPr>
            <w:tcW w:type="dxa" w:w="3744"/>
            <w:shd w:fill="FFFFFF"/>
            <w:tcMar>
              <w:top w:w="60" w:type="dxa"/>
              <w:bottom w:w="60" w:type="dxa"/>
              <w:left w:w="100" w:type="dxa"/>
              <w:right w:w="100" w:type="dxa"/>
            </w:tcMar>
            <w:vAlign w:val="top"/>
          </w:tcPr>
          <w:p>
            <w:pPr>
              <w:spacing w:before="30" w:after="30" w:line="252" w:lineRule="auto"/>
            </w:pPr>
            <w:r>
              <w:rPr>
                <w:rFonts w:ascii="Calibri" w:hAnsi="Calibri"/>
                <w:sz w:val="17"/>
              </w:rPr>
              <w:t>rev_portal_transaction_staging</w:t>
            </w:r>
          </w:p>
        </w:tc>
        <w:tc>
          <w:tcPr>
            <w:tcW w:type="dxa" w:w="7344"/>
            <w:shd w:fill="FFFFFF"/>
            <w:tcMar>
              <w:top w:w="60" w:type="dxa"/>
              <w:bottom w:w="60" w:type="dxa"/>
              <w:left w:w="100" w:type="dxa"/>
              <w:right w:w="100" w:type="dxa"/>
            </w:tcMar>
            <w:vAlign w:val="top"/>
          </w:tcPr>
          <w:p>
            <w:pPr>
              <w:spacing w:before="30" w:after="30" w:line="252" w:lineRule="auto"/>
            </w:pPr>
            <w:r>
              <w:rPr>
                <w:rFonts w:ascii="Calibri" w:hAnsi="Calibri"/>
                <w:sz w:val="17"/>
              </w:rPr>
              <w:t>Departmental portal transaction staging for citizen revenue receipts (CIN, CPIN, Challan No, Payer Name, Amount, Service Date, PAO, Dept, Validation status).</w:t>
            </w:r>
          </w:p>
        </w:tc>
      </w:tr>
      <w:tr>
        <w:tc>
          <w:tcPr>
            <w:tcW w:type="dxa" w:w="3744"/>
            <w:shd w:fill="F8FAFC"/>
            <w:tcMar>
              <w:top w:w="60" w:type="dxa"/>
              <w:bottom w:w="60" w:type="dxa"/>
              <w:left w:w="100" w:type="dxa"/>
              <w:right w:w="100" w:type="dxa"/>
            </w:tcMar>
            <w:vAlign w:val="top"/>
          </w:tcPr>
          <w:p>
            <w:pPr>
              <w:spacing w:before="30" w:after="30" w:line="252" w:lineRule="auto"/>
            </w:pPr>
            <w:r>
              <w:rPr>
                <w:rFonts w:ascii="Calibri" w:hAnsi="Calibri"/>
                <w:sz w:val="17"/>
              </w:rPr>
              <w:t>rev_agency_bank_scroll_staging</w:t>
            </w:r>
          </w:p>
        </w:tc>
        <w:tc>
          <w:tcPr>
            <w:tcW w:type="dxa" w:w="7344"/>
            <w:shd w:fill="F8FAFC"/>
            <w:tcMar>
              <w:top w:w="60" w:type="dxa"/>
              <w:bottom w:w="60" w:type="dxa"/>
              <w:left w:w="100" w:type="dxa"/>
              <w:right w:w="100" w:type="dxa"/>
            </w:tcMar>
            <w:vAlign w:val="top"/>
          </w:tcPr>
          <w:p>
            <w:pPr>
              <w:spacing w:before="30" w:after="30" w:line="252" w:lineRule="auto"/>
            </w:pPr>
            <w:r>
              <w:rPr>
                <w:rFonts w:ascii="Calibri" w:hAnsi="Calibri"/>
                <w:sz w:val="17"/>
              </w:rPr>
              <w:t>Agency bank daily collection scroll records (Scroll No, Bank Code, Branch, Challan No, CIN, BRN, Remittance Date, Amount, Scroll status).</w:t>
            </w:r>
          </w:p>
        </w:tc>
      </w:tr>
      <w:tr>
        <w:tc>
          <w:tcPr>
            <w:tcW w:type="dxa" w:w="3744"/>
            <w:shd w:fill="FFFFFF"/>
            <w:tcMar>
              <w:top w:w="60" w:type="dxa"/>
              <w:bottom w:w="60" w:type="dxa"/>
              <w:left w:w="100" w:type="dxa"/>
              <w:right w:w="100" w:type="dxa"/>
            </w:tcMar>
            <w:vAlign w:val="top"/>
          </w:tcPr>
          <w:p>
            <w:pPr>
              <w:spacing w:before="30" w:after="30" w:line="252" w:lineRule="auto"/>
            </w:pPr>
            <w:r>
              <w:rPr>
                <w:rFonts w:ascii="Calibri" w:hAnsi="Calibri"/>
                <w:sz w:val="17"/>
              </w:rPr>
              <w:t>rev_rbi_luggage_staging</w:t>
            </w:r>
          </w:p>
        </w:tc>
        <w:tc>
          <w:tcPr>
            <w:tcW w:type="dxa" w:w="7344"/>
            <w:shd w:fill="FFFFFF"/>
            <w:tcMar>
              <w:top w:w="60" w:type="dxa"/>
              <w:bottom w:w="60" w:type="dxa"/>
              <w:left w:w="100" w:type="dxa"/>
              <w:right w:w="100" w:type="dxa"/>
            </w:tcMar>
            <w:vAlign w:val="top"/>
          </w:tcPr>
          <w:p>
            <w:pPr>
              <w:spacing w:before="30" w:after="30" w:line="252" w:lineRule="auto"/>
            </w:pPr>
            <w:r>
              <w:rPr>
                <w:rFonts w:ascii="Calibri" w:hAnsi="Calibri"/>
                <w:sz w:val="17"/>
              </w:rPr>
              <w:t>Reserve Bank of India CAS daily luggage remittance files (Luggage File No, RBI Date, Bank Code, RBI Net Credit Amount, Clearance status).</w:t>
            </w:r>
          </w:p>
        </w:tc>
      </w:tr>
      <w:tr>
        <w:tc>
          <w:tcPr>
            <w:tcW w:type="dxa" w:w="3744"/>
            <w:shd w:fill="F8FAFC"/>
            <w:tcMar>
              <w:top w:w="60" w:type="dxa"/>
              <w:bottom w:w="60" w:type="dxa"/>
              <w:left w:w="100" w:type="dxa"/>
              <w:right w:w="100" w:type="dxa"/>
            </w:tcMar>
            <w:vAlign w:val="top"/>
          </w:tcPr>
          <w:p>
            <w:pPr>
              <w:spacing w:before="30" w:after="30" w:line="252" w:lineRule="auto"/>
            </w:pPr>
            <w:r>
              <w:rPr>
                <w:rFonts w:ascii="Calibri" w:hAnsi="Calibri"/>
                <w:sz w:val="17"/>
              </w:rPr>
              <w:t>rev_recon_result</w:t>
            </w:r>
          </w:p>
        </w:tc>
        <w:tc>
          <w:tcPr>
            <w:tcW w:type="dxa" w:w="7344"/>
            <w:shd w:fill="F8FAFC"/>
            <w:tcMar>
              <w:top w:w="60" w:type="dxa"/>
              <w:bottom w:w="60" w:type="dxa"/>
              <w:left w:w="100" w:type="dxa"/>
              <w:right w:w="100" w:type="dxa"/>
            </w:tcMar>
            <w:vAlign w:val="top"/>
          </w:tcPr>
          <w:p>
            <w:pPr>
              <w:spacing w:before="30" w:after="30" w:line="252" w:lineRule="auto"/>
            </w:pPr>
            <w:r>
              <w:rPr>
                <w:rFonts w:ascii="Calibri" w:hAnsi="Calibri"/>
                <w:sz w:val="17"/>
              </w:rPr>
              <w:t>Central hub for 3-way reconciliation results (Recon ID, rev_transaction_id, Portal/Bank/RBI totals, Amount Difference, Date Variance, Match Status, Booking Status).</w:t>
            </w:r>
          </w:p>
        </w:tc>
      </w:tr>
      <w:tr>
        <w:tc>
          <w:tcPr>
            <w:tcW w:type="dxa" w:w="3744"/>
            <w:shd w:fill="FFFFFF"/>
            <w:tcMar>
              <w:top w:w="60" w:type="dxa"/>
              <w:bottom w:w="60" w:type="dxa"/>
              <w:left w:w="100" w:type="dxa"/>
              <w:right w:w="100" w:type="dxa"/>
            </w:tcMar>
            <w:vAlign w:val="top"/>
          </w:tcPr>
          <w:p>
            <w:pPr>
              <w:spacing w:before="30" w:after="30" w:line="252" w:lineRule="auto"/>
            </w:pPr>
            <w:r>
              <w:rPr>
                <w:rFonts w:ascii="Calibri" w:hAnsi="Calibri"/>
                <w:sz w:val="17"/>
              </w:rPr>
              <w:t>rev_recon_run</w:t>
            </w:r>
          </w:p>
        </w:tc>
        <w:tc>
          <w:tcPr>
            <w:tcW w:type="dxa" w:w="7344"/>
            <w:shd w:fill="FFFFFF"/>
            <w:tcMar>
              <w:top w:w="60" w:type="dxa"/>
              <w:bottom w:w="60" w:type="dxa"/>
              <w:left w:w="100" w:type="dxa"/>
              <w:right w:w="100" w:type="dxa"/>
            </w:tcMar>
            <w:vAlign w:val="top"/>
          </w:tcPr>
          <w:p>
            <w:pPr>
              <w:spacing w:before="30" w:after="30" w:line="252" w:lineRule="auto"/>
            </w:pPr>
            <w:r>
              <w:rPr>
                <w:rFonts w:ascii="Calibri" w:hAnsi="Calibri"/>
                <w:sz w:val="17"/>
              </w:rPr>
              <w:t>Reconciliation batch execution header (Run ID, Run Date, Source, Records Processed, Matched Count, Exception Count, Executed By).</w:t>
            </w:r>
          </w:p>
        </w:tc>
      </w:tr>
      <w:tr>
        <w:tc>
          <w:tcPr>
            <w:tcW w:type="dxa" w:w="3744"/>
            <w:shd w:fill="F8FAFC"/>
            <w:tcMar>
              <w:top w:w="60" w:type="dxa"/>
              <w:bottom w:w="60" w:type="dxa"/>
              <w:left w:w="100" w:type="dxa"/>
              <w:right w:w="100" w:type="dxa"/>
            </w:tcMar>
            <w:vAlign w:val="top"/>
          </w:tcPr>
          <w:p>
            <w:pPr>
              <w:spacing w:before="30" w:after="30" w:line="252" w:lineRule="auto"/>
            </w:pPr>
            <w:r>
              <w:rPr>
                <w:rFonts w:ascii="Calibri" w:hAnsi="Calibri"/>
                <w:sz w:val="17"/>
              </w:rPr>
              <w:t>rev_recon_leg_linkage</w:t>
            </w:r>
          </w:p>
        </w:tc>
        <w:tc>
          <w:tcPr>
            <w:tcW w:type="dxa" w:w="7344"/>
            <w:shd w:fill="F8FAFC"/>
            <w:tcMar>
              <w:top w:w="60" w:type="dxa"/>
              <w:bottom w:w="60" w:type="dxa"/>
              <w:left w:w="100" w:type="dxa"/>
              <w:right w:w="100" w:type="dxa"/>
            </w:tcMar>
            <w:vAlign w:val="top"/>
          </w:tcPr>
          <w:p>
            <w:pPr>
              <w:spacing w:before="30" w:after="30" w:line="252" w:lineRule="auto"/>
            </w:pPr>
            <w:r>
              <w:rPr>
                <w:rFonts w:ascii="Calibri" w:hAnsi="Calibri"/>
                <w:sz w:val="17"/>
              </w:rPr>
              <w:t>Explicit 3-way foreign-key link bridging portal_item_id, bank_scroll_id, and rbi_item_id to a specific recon_id record.</w:t>
            </w:r>
          </w:p>
        </w:tc>
      </w:tr>
      <w:tr>
        <w:tc>
          <w:tcPr>
            <w:tcW w:type="dxa" w:w="3744"/>
            <w:shd w:fill="FFFFFF"/>
            <w:tcMar>
              <w:top w:w="60" w:type="dxa"/>
              <w:bottom w:w="60" w:type="dxa"/>
              <w:left w:w="100" w:type="dxa"/>
              <w:right w:w="100" w:type="dxa"/>
            </w:tcMar>
            <w:vAlign w:val="top"/>
          </w:tcPr>
          <w:p>
            <w:pPr>
              <w:spacing w:before="30" w:after="30" w:line="252" w:lineRule="auto"/>
            </w:pPr>
            <w:r>
              <w:rPr>
                <w:rFonts w:ascii="Calibri" w:hAnsi="Calibri"/>
                <w:sz w:val="17"/>
              </w:rPr>
              <w:t>rev_recon_override</w:t>
            </w:r>
          </w:p>
        </w:tc>
        <w:tc>
          <w:tcPr>
            <w:tcW w:type="dxa" w:w="7344"/>
            <w:shd w:fill="FFFFFF"/>
            <w:tcMar>
              <w:top w:w="60" w:type="dxa"/>
              <w:bottom w:w="60" w:type="dxa"/>
              <w:left w:w="100" w:type="dxa"/>
              <w:right w:w="100" w:type="dxa"/>
            </w:tcMar>
            <w:vAlign w:val="top"/>
          </w:tcPr>
          <w:p>
            <w:pPr>
              <w:spacing w:before="30" w:after="30" w:line="252" w:lineRule="auto"/>
            </w:pPr>
            <w:r>
              <w:rPr>
                <w:rFonts w:ascii="Calibri" w:hAnsi="Calibri"/>
                <w:sz w:val="17"/>
              </w:rPr>
              <w:t>Administrative manual match override and discrepancy solution approval log (Original Status, Proposed Status, Justification, Reference Order, Approved By).</w:t>
            </w:r>
          </w:p>
        </w:tc>
      </w:tr>
      <w:tr>
        <w:tc>
          <w:tcPr>
            <w:tcW w:type="dxa" w:w="3744"/>
            <w:shd w:fill="F8FAFC"/>
            <w:tcMar>
              <w:top w:w="60" w:type="dxa"/>
              <w:bottom w:w="60" w:type="dxa"/>
              <w:left w:w="100" w:type="dxa"/>
              <w:right w:w="100" w:type="dxa"/>
            </w:tcMar>
            <w:vAlign w:val="top"/>
          </w:tcPr>
          <w:p>
            <w:pPr>
              <w:spacing w:before="30" w:after="30" w:line="252" w:lineRule="auto"/>
            </w:pPr>
            <w:r>
              <w:rPr>
                <w:rFonts w:ascii="Calibri" w:hAnsi="Calibri"/>
                <w:sz w:val="17"/>
              </w:rPr>
              <w:t>rev_exception</w:t>
            </w:r>
          </w:p>
        </w:tc>
        <w:tc>
          <w:tcPr>
            <w:tcW w:type="dxa" w:w="7344"/>
            <w:shd w:fill="F8FAFC"/>
            <w:tcMar>
              <w:top w:w="60" w:type="dxa"/>
              <w:bottom w:w="60" w:type="dxa"/>
              <w:left w:w="100" w:type="dxa"/>
              <w:right w:w="100" w:type="dxa"/>
            </w:tcMar>
            <w:vAlign w:val="top"/>
          </w:tcPr>
          <w:p>
            <w:pPr>
              <w:spacing w:before="30" w:after="30" w:line="252" w:lineRule="auto"/>
            </w:pPr>
            <w:r>
              <w:rPr>
                <w:rFonts w:ascii="Calibri" w:hAnsi="Calibri"/>
                <w:sz w:val="17"/>
              </w:rPr>
              <w:t>Investigation case management entity for reconciliation discrepancies (Exception No, Category, Severity, Status, Assigned User, Due Date, Escalation Count).</w:t>
            </w:r>
          </w:p>
        </w:tc>
      </w:tr>
      <w:tr>
        <w:tc>
          <w:tcPr>
            <w:tcW w:type="dxa" w:w="3744"/>
            <w:shd w:fill="FFFFFF"/>
            <w:tcMar>
              <w:top w:w="60" w:type="dxa"/>
              <w:bottom w:w="60" w:type="dxa"/>
              <w:left w:w="100" w:type="dxa"/>
              <w:right w:w="100" w:type="dxa"/>
            </w:tcMar>
            <w:vAlign w:val="top"/>
          </w:tcPr>
          <w:p>
            <w:pPr>
              <w:spacing w:before="30" w:after="30" w:line="252" w:lineRule="auto"/>
            </w:pPr>
            <w:r>
              <w:rPr>
                <w:rFonts w:ascii="Calibri" w:hAnsi="Calibri"/>
                <w:sz w:val="17"/>
              </w:rPr>
              <w:t>rev_exception_note</w:t>
            </w:r>
          </w:p>
        </w:tc>
        <w:tc>
          <w:tcPr>
            <w:tcW w:type="dxa" w:w="7344"/>
            <w:shd w:fill="FFFFFF"/>
            <w:tcMar>
              <w:top w:w="60" w:type="dxa"/>
              <w:bottom w:w="60" w:type="dxa"/>
              <w:left w:w="100" w:type="dxa"/>
              <w:right w:w="100" w:type="dxa"/>
            </w:tcMar>
            <w:vAlign w:val="top"/>
          </w:tcPr>
          <w:p>
            <w:pPr>
              <w:spacing w:before="30" w:after="30" w:line="252" w:lineRule="auto"/>
            </w:pPr>
            <w:r>
              <w:rPr>
                <w:rFonts w:ascii="Calibri" w:hAnsi="Calibri"/>
                <w:sz w:val="17"/>
              </w:rPr>
              <w:t>Investigation case timeline log for officer remarks, audit annotations, and resolution justifications (Action Type, Note Text, Created By, Created At).</w:t>
            </w:r>
          </w:p>
        </w:tc>
      </w:tr>
      <w:tr>
        <w:tc>
          <w:tcPr>
            <w:tcW w:type="dxa" w:w="3744"/>
            <w:shd w:fill="F8FAFC"/>
            <w:tcMar>
              <w:top w:w="60" w:type="dxa"/>
              <w:bottom w:w="60" w:type="dxa"/>
              <w:left w:w="100" w:type="dxa"/>
              <w:right w:w="100" w:type="dxa"/>
            </w:tcMar>
            <w:vAlign w:val="top"/>
          </w:tcPr>
          <w:p>
            <w:pPr>
              <w:spacing w:before="30" w:after="30" w:line="252" w:lineRule="auto"/>
            </w:pPr>
            <w:r>
              <w:rPr>
                <w:rFonts w:ascii="Calibri" w:hAnsi="Calibri"/>
                <w:sz w:val="17"/>
              </w:rPr>
              <w:t>rev_exception_letter</w:t>
            </w:r>
          </w:p>
        </w:tc>
        <w:tc>
          <w:tcPr>
            <w:tcW w:type="dxa" w:w="7344"/>
            <w:shd w:fill="F8FAFC"/>
            <w:tcMar>
              <w:top w:w="60" w:type="dxa"/>
              <w:bottom w:w="60" w:type="dxa"/>
              <w:left w:w="100" w:type="dxa"/>
              <w:right w:w="100" w:type="dxa"/>
            </w:tcMar>
            <w:vAlign w:val="top"/>
          </w:tcPr>
          <w:p>
            <w:pPr>
              <w:spacing w:before="30" w:after="30" w:line="252" w:lineRule="auto"/>
            </w:pPr>
            <w:r>
              <w:rPr>
                <w:rFonts w:ascii="Calibri" w:hAnsi="Calibri"/>
                <w:sz w:val="17"/>
              </w:rPr>
              <w:t>Discrepancy letters issued to agency banks and departmental nodal officers (Letter No, Recipient, Bank Code, Challan Ref, Statutory Terms, Dispatch Date).</w:t>
            </w:r>
          </w:p>
        </w:tc>
      </w:tr>
      <w:tr>
        <w:tc>
          <w:tcPr>
            <w:tcW w:type="dxa" w:w="3744"/>
            <w:shd w:fill="FFFFFF"/>
            <w:tcMar>
              <w:top w:w="60" w:type="dxa"/>
              <w:bottom w:w="60" w:type="dxa"/>
              <w:left w:w="100" w:type="dxa"/>
              <w:right w:w="100" w:type="dxa"/>
            </w:tcMar>
            <w:vAlign w:val="top"/>
          </w:tcPr>
          <w:p>
            <w:pPr>
              <w:spacing w:before="30" w:after="30" w:line="252" w:lineRule="auto"/>
            </w:pPr>
            <w:r>
              <w:rPr>
                <w:rFonts w:ascii="Calibri" w:hAnsi="Calibri"/>
                <w:sz w:val="17"/>
              </w:rPr>
              <w:t>rev_sla_rule</w:t>
            </w:r>
          </w:p>
        </w:tc>
        <w:tc>
          <w:tcPr>
            <w:tcW w:type="dxa" w:w="7344"/>
            <w:shd w:fill="FFFFFF"/>
            <w:tcMar>
              <w:top w:w="60" w:type="dxa"/>
              <w:bottom w:w="60" w:type="dxa"/>
              <w:left w:w="100" w:type="dxa"/>
              <w:right w:w="100" w:type="dxa"/>
            </w:tcMar>
            <w:vAlign w:val="top"/>
          </w:tcPr>
          <w:p>
            <w:pPr>
              <w:spacing w:before="30" w:after="30" w:line="252" w:lineRule="auto"/>
            </w:pPr>
            <w:r>
              <w:rPr>
                <w:rFonts w:ascii="Calibri" w:hAnsi="Calibri"/>
                <w:sz w:val="17"/>
              </w:rPr>
              <w:t>Agency bank SLA &amp; penal interest parameters (Allowed Remittance Days T+1/T+2, Grace Days, Penal Rate 12.00% p.a., Day Basis 365, Min Recovery Threshold).</w:t>
            </w:r>
          </w:p>
        </w:tc>
      </w:tr>
      <w:tr>
        <w:tc>
          <w:tcPr>
            <w:tcW w:type="dxa" w:w="3744"/>
            <w:shd w:fill="F8FAFC"/>
            <w:tcMar>
              <w:top w:w="60" w:type="dxa"/>
              <w:bottom w:w="60" w:type="dxa"/>
              <w:left w:w="100" w:type="dxa"/>
              <w:right w:w="100" w:type="dxa"/>
            </w:tcMar>
            <w:vAlign w:val="top"/>
          </w:tcPr>
          <w:p>
            <w:pPr>
              <w:spacing w:before="30" w:after="30" w:line="252" w:lineRule="auto"/>
            </w:pPr>
            <w:r>
              <w:rPr>
                <w:rFonts w:ascii="Calibri" w:hAnsi="Calibri"/>
                <w:sz w:val="17"/>
              </w:rPr>
              <w:t>rev_penal_claim</w:t>
            </w:r>
          </w:p>
        </w:tc>
        <w:tc>
          <w:tcPr>
            <w:tcW w:type="dxa" w:w="7344"/>
            <w:shd w:fill="F8FAFC"/>
            <w:tcMar>
              <w:top w:w="60" w:type="dxa"/>
              <w:bottom w:w="60" w:type="dxa"/>
              <w:left w:w="100" w:type="dxa"/>
              <w:right w:w="100" w:type="dxa"/>
            </w:tcMar>
            <w:vAlign w:val="top"/>
          </w:tcPr>
          <w:p>
            <w:pPr>
              <w:spacing w:before="30" w:after="30" w:line="252" w:lineRule="auto"/>
            </w:pPr>
            <w:r>
              <w:rPr>
                <w:rFonts w:ascii="Calibri" w:hAnsi="Calibri"/>
                <w:sz w:val="17"/>
              </w:rPr>
              <w:t>Computed penal interest demand claims against agency banks for delayed remittances (Claim No, Bank Code, Remittance Delay Days, Penal Amount, Recovery Status).</w:t>
            </w:r>
          </w:p>
        </w:tc>
      </w:tr>
      <w:tr>
        <w:tc>
          <w:tcPr>
            <w:tcW w:type="dxa" w:w="3744"/>
            <w:shd w:fill="FFFFFF"/>
            <w:tcMar>
              <w:top w:w="60" w:type="dxa"/>
              <w:bottom w:w="60" w:type="dxa"/>
              <w:left w:w="100" w:type="dxa"/>
              <w:right w:w="100" w:type="dxa"/>
            </w:tcMar>
            <w:vAlign w:val="top"/>
          </w:tcPr>
          <w:p>
            <w:pPr>
              <w:spacing w:before="30" w:after="30" w:line="252" w:lineRule="auto"/>
            </w:pPr>
            <w:r>
              <w:rPr>
                <w:rFonts w:ascii="Calibri" w:hAnsi="Calibri"/>
                <w:sz w:val="17"/>
              </w:rPr>
              <w:t>rev_penal_letter</w:t>
            </w:r>
          </w:p>
        </w:tc>
        <w:tc>
          <w:tcPr>
            <w:tcW w:type="dxa" w:w="7344"/>
            <w:shd w:fill="FFFFFF"/>
            <w:tcMar>
              <w:top w:w="60" w:type="dxa"/>
              <w:bottom w:w="60" w:type="dxa"/>
              <w:left w:w="100" w:type="dxa"/>
              <w:right w:w="100" w:type="dxa"/>
            </w:tcMar>
            <w:vAlign w:val="top"/>
          </w:tcPr>
          <w:p>
            <w:pPr>
              <w:spacing w:before="30" w:after="30" w:line="252" w:lineRule="auto"/>
            </w:pPr>
            <w:r>
              <w:rPr>
                <w:rFonts w:ascii="Calibri" w:hAnsi="Calibri"/>
                <w:sz w:val="17"/>
              </w:rPr>
              <w:t>Formal demand notices issued to agency banks for recovery of penal interest (Notice No, Bank Ref, Delay Period, Interest Calculation Matrix, Issue Date).</w:t>
            </w:r>
          </w:p>
        </w:tc>
      </w:tr>
      <w:tr>
        <w:tc>
          <w:tcPr>
            <w:tcW w:type="dxa" w:w="3744"/>
            <w:shd w:fill="F8FAFC"/>
            <w:tcMar>
              <w:top w:w="60" w:type="dxa"/>
              <w:bottom w:w="60" w:type="dxa"/>
              <w:left w:w="100" w:type="dxa"/>
              <w:right w:w="100" w:type="dxa"/>
            </w:tcMar>
            <w:vAlign w:val="top"/>
          </w:tcPr>
          <w:p>
            <w:pPr>
              <w:spacing w:before="30" w:after="30" w:line="252" w:lineRule="auto"/>
            </w:pPr>
            <w:r>
              <w:rPr>
                <w:rFonts w:ascii="Calibri" w:hAnsi="Calibri"/>
                <w:sz w:val="17"/>
              </w:rPr>
              <w:t>rev_penal_bank_response</w:t>
            </w:r>
          </w:p>
        </w:tc>
        <w:tc>
          <w:tcPr>
            <w:tcW w:type="dxa" w:w="7344"/>
            <w:shd w:fill="F8FAFC"/>
            <w:tcMar>
              <w:top w:w="60" w:type="dxa"/>
              <w:bottom w:w="60" w:type="dxa"/>
              <w:left w:w="100" w:type="dxa"/>
              <w:right w:w="100" w:type="dxa"/>
            </w:tcMar>
            <w:vAlign w:val="top"/>
          </w:tcPr>
          <w:p>
            <w:pPr>
              <w:spacing w:before="30" w:after="30" w:line="252" w:lineRule="auto"/>
            </w:pPr>
            <w:r>
              <w:rPr>
                <w:rFonts w:ascii="Calibri" w:hAnsi="Calibri"/>
                <w:sz w:val="17"/>
              </w:rPr>
              <w:t>Bank dispute submissions and explanations against penal interest claims (Response Ref, Bank Remarks, Disputed Amount, Supporting Doc Ref).</w:t>
            </w:r>
          </w:p>
        </w:tc>
      </w:tr>
      <w:tr>
        <w:tc>
          <w:tcPr>
            <w:tcW w:type="dxa" w:w="3744"/>
            <w:shd w:fill="FFFFFF"/>
            <w:tcMar>
              <w:top w:w="60" w:type="dxa"/>
              <w:bottom w:w="60" w:type="dxa"/>
              <w:left w:w="100" w:type="dxa"/>
              <w:right w:w="100" w:type="dxa"/>
            </w:tcMar>
            <w:vAlign w:val="top"/>
          </w:tcPr>
          <w:p>
            <w:pPr>
              <w:spacing w:before="30" w:after="30" w:line="252" w:lineRule="auto"/>
            </w:pPr>
            <w:r>
              <w:rPr>
                <w:rFonts w:ascii="Calibri" w:hAnsi="Calibri"/>
                <w:sz w:val="17"/>
              </w:rPr>
              <w:t>rev_penal_waiver</w:t>
            </w:r>
          </w:p>
        </w:tc>
        <w:tc>
          <w:tcPr>
            <w:tcW w:type="dxa" w:w="7344"/>
            <w:shd w:fill="FFFFFF"/>
            <w:tcMar>
              <w:top w:w="60" w:type="dxa"/>
              <w:bottom w:w="60" w:type="dxa"/>
              <w:left w:w="100" w:type="dxa"/>
              <w:right w:w="100" w:type="dxa"/>
            </w:tcMar>
            <w:vAlign w:val="top"/>
          </w:tcPr>
          <w:p>
            <w:pPr>
              <w:spacing w:before="30" w:after="30" w:line="252" w:lineRule="auto"/>
            </w:pPr>
            <w:r>
              <w:rPr>
                <w:rFonts w:ascii="Calibri" w:hAnsi="Calibri"/>
                <w:sz w:val="17"/>
              </w:rPr>
              <w:t>Government sanction approvals for waiver or reduction of penal interest claims (Waiver Order No, Waived Amount, Sanction Authority, Justification).</w:t>
            </w:r>
          </w:p>
        </w:tc>
      </w:tr>
      <w:tr>
        <w:tc>
          <w:tcPr>
            <w:tcW w:type="dxa" w:w="3744"/>
            <w:shd w:fill="F8FAFC"/>
            <w:tcMar>
              <w:top w:w="60" w:type="dxa"/>
              <w:bottom w:w="60" w:type="dxa"/>
              <w:left w:w="100" w:type="dxa"/>
              <w:right w:w="100" w:type="dxa"/>
            </w:tcMar>
            <w:vAlign w:val="top"/>
          </w:tcPr>
          <w:p>
            <w:pPr>
              <w:spacing w:before="30" w:after="30" w:line="252" w:lineRule="auto"/>
            </w:pPr>
            <w:r>
              <w:rPr>
                <w:rFonts w:ascii="Calibri" w:hAnsi="Calibri"/>
                <w:sz w:val="17"/>
              </w:rPr>
              <w:t>rev_refund_case</w:t>
            </w:r>
          </w:p>
        </w:tc>
        <w:tc>
          <w:tcPr>
            <w:tcW w:type="dxa" w:w="7344"/>
            <w:shd w:fill="F8FAFC"/>
            <w:tcMar>
              <w:top w:w="60" w:type="dxa"/>
              <w:bottom w:w="60" w:type="dxa"/>
              <w:left w:w="100" w:type="dxa"/>
              <w:right w:w="100" w:type="dxa"/>
            </w:tcMar>
            <w:vAlign w:val="top"/>
          </w:tcPr>
          <w:p>
            <w:pPr>
              <w:spacing w:before="30" w:after="30" w:line="252" w:lineRule="auto"/>
            </w:pPr>
            <w:r>
              <w:rPr>
                <w:rFonts w:ascii="Calibri" w:hAnsi="Calibri"/>
                <w:sz w:val="17"/>
              </w:rPr>
              <w:t>Citizen revenue refund case lifecycle (Case No, Applicant Name, Bank Details, Original Challan No, Claimed Amount, Verified Amount, Current Stage, Status).</w:t>
            </w:r>
          </w:p>
        </w:tc>
      </w:tr>
      <w:tr>
        <w:tc>
          <w:tcPr>
            <w:tcW w:type="dxa" w:w="3744"/>
            <w:shd w:fill="FFFFFF"/>
            <w:tcMar>
              <w:top w:w="60" w:type="dxa"/>
              <w:bottom w:w="60" w:type="dxa"/>
              <w:left w:w="100" w:type="dxa"/>
              <w:right w:w="100" w:type="dxa"/>
            </w:tcMar>
            <w:vAlign w:val="top"/>
          </w:tcPr>
          <w:p>
            <w:pPr>
              <w:spacing w:before="30" w:after="30" w:line="252" w:lineRule="auto"/>
            </w:pPr>
            <w:r>
              <w:rPr>
                <w:rFonts w:ascii="Calibri" w:hAnsi="Calibri"/>
                <w:sz w:val="17"/>
              </w:rPr>
              <w:t>rev_refund_verification</w:t>
            </w:r>
          </w:p>
        </w:tc>
        <w:tc>
          <w:tcPr>
            <w:tcW w:type="dxa" w:w="7344"/>
            <w:shd w:fill="FFFFFF"/>
            <w:tcMar>
              <w:top w:w="60" w:type="dxa"/>
              <w:bottom w:w="60" w:type="dxa"/>
              <w:left w:w="100" w:type="dxa"/>
              <w:right w:w="100" w:type="dxa"/>
            </w:tcMar>
            <w:vAlign w:val="top"/>
          </w:tcPr>
          <w:p>
            <w:pPr>
              <w:spacing w:before="30" w:after="30" w:line="252" w:lineRule="auto"/>
            </w:pPr>
            <w:r>
              <w:rPr>
                <w:rFonts w:ascii="Calibri" w:hAnsi="Calibri"/>
                <w:sz w:val="17"/>
              </w:rPr>
              <w:t>Departmental challan verification and deduction checklist against rev_recon_result (Verification Status, Scrutiny Officer, Checklist Notes).</w:t>
            </w:r>
          </w:p>
        </w:tc>
      </w:tr>
      <w:tr>
        <w:tc>
          <w:tcPr>
            <w:tcW w:type="dxa" w:w="3744"/>
            <w:shd w:fill="F8FAFC"/>
            <w:tcMar>
              <w:top w:w="60" w:type="dxa"/>
              <w:bottom w:w="60" w:type="dxa"/>
              <w:left w:w="100" w:type="dxa"/>
              <w:right w:w="100" w:type="dxa"/>
            </w:tcMar>
            <w:vAlign w:val="top"/>
          </w:tcPr>
          <w:p>
            <w:pPr>
              <w:spacing w:before="30" w:after="30" w:line="252" w:lineRule="auto"/>
            </w:pPr>
            <w:r>
              <w:rPr>
                <w:rFonts w:ascii="Calibri" w:hAnsi="Calibri"/>
                <w:sz w:val="17"/>
              </w:rPr>
              <w:t>rev_refund_bill</w:t>
            </w:r>
          </w:p>
        </w:tc>
        <w:tc>
          <w:tcPr>
            <w:tcW w:type="dxa" w:w="7344"/>
            <w:shd w:fill="F8FAFC"/>
            <w:tcMar>
              <w:top w:w="60" w:type="dxa"/>
              <w:bottom w:w="60" w:type="dxa"/>
              <w:left w:w="100" w:type="dxa"/>
              <w:right w:w="100" w:type="dxa"/>
            </w:tcMar>
            <w:vAlign w:val="top"/>
          </w:tcPr>
          <w:p>
            <w:pPr>
              <w:spacing w:before="30" w:after="30" w:line="252" w:lineRule="auto"/>
            </w:pPr>
            <w:r>
              <w:rPr>
                <w:rFonts w:ascii="Calibri" w:hAnsi="Calibri"/>
                <w:sz w:val="17"/>
              </w:rPr>
              <w:t>Treasury refund bill issued for electronic disbursement (Bill No, Debit Head 0030-900, DDO Code, PAO Code, Sanction Amount, Approval Status).</w:t>
            </w:r>
          </w:p>
        </w:tc>
      </w:tr>
      <w:tr>
        <w:tc>
          <w:tcPr>
            <w:tcW w:type="dxa" w:w="3744"/>
            <w:shd w:fill="FFFFFF"/>
            <w:tcMar>
              <w:top w:w="60" w:type="dxa"/>
              <w:bottom w:w="60" w:type="dxa"/>
              <w:left w:w="100" w:type="dxa"/>
              <w:right w:w="100" w:type="dxa"/>
            </w:tcMar>
            <w:vAlign w:val="top"/>
          </w:tcPr>
          <w:p>
            <w:pPr>
              <w:spacing w:before="30" w:after="30" w:line="252" w:lineRule="auto"/>
            </w:pPr>
            <w:r>
              <w:rPr>
                <w:rFonts w:ascii="Calibri" w:hAnsi="Calibri"/>
                <w:sz w:val="17"/>
              </w:rPr>
              <w:t>rev_devolution_rule</w:t>
            </w:r>
          </w:p>
        </w:tc>
        <w:tc>
          <w:tcPr>
            <w:tcW w:type="dxa" w:w="7344"/>
            <w:shd w:fill="FFFFFF"/>
            <w:tcMar>
              <w:top w:w="60" w:type="dxa"/>
              <w:bottom w:w="60" w:type="dxa"/>
              <w:left w:w="100" w:type="dxa"/>
              <w:right w:w="100" w:type="dxa"/>
            </w:tcMar>
            <w:vAlign w:val="top"/>
          </w:tcPr>
          <w:p>
            <w:pPr>
              <w:spacing w:before="30" w:after="30" w:line="252" w:lineRule="auto"/>
            </w:pPr>
            <w:r>
              <w:rPr>
                <w:rFonts w:ascii="Calibri" w:hAnsi="Calibri"/>
                <w:sz w:val="17"/>
              </w:rPr>
              <w:t>Statutory devolution sharing percentages to local bodies (MCD, NDMC, DCB) for Stamp Duty, Transfer Duty, Motor Vehicle Tax, Electricity Cess (Share %, Valid From/To).</w:t>
            </w:r>
          </w:p>
        </w:tc>
      </w:tr>
      <w:tr>
        <w:tc>
          <w:tcPr>
            <w:tcW w:type="dxa" w:w="3744"/>
            <w:shd w:fill="F8FAFC"/>
            <w:tcMar>
              <w:top w:w="60" w:type="dxa"/>
              <w:bottom w:w="60" w:type="dxa"/>
              <w:left w:w="100" w:type="dxa"/>
              <w:right w:w="100" w:type="dxa"/>
            </w:tcMar>
            <w:vAlign w:val="top"/>
          </w:tcPr>
          <w:p>
            <w:pPr>
              <w:spacing w:before="30" w:after="30" w:line="252" w:lineRule="auto"/>
            </w:pPr>
            <w:r>
              <w:rPr>
                <w:rFonts w:ascii="Calibri" w:hAnsi="Calibri"/>
                <w:sz w:val="17"/>
              </w:rPr>
              <w:t>rev_devolution_computation</w:t>
            </w:r>
          </w:p>
        </w:tc>
        <w:tc>
          <w:tcPr>
            <w:tcW w:type="dxa" w:w="7344"/>
            <w:shd w:fill="F8FAFC"/>
            <w:tcMar>
              <w:top w:w="60" w:type="dxa"/>
              <w:bottom w:w="60" w:type="dxa"/>
              <w:left w:w="100" w:type="dxa"/>
              <w:right w:w="100" w:type="dxa"/>
            </w:tcMar>
            <w:vAlign w:val="top"/>
          </w:tcPr>
          <w:p>
            <w:pPr>
              <w:spacing w:before="30" w:after="30" w:line="252" w:lineRule="auto"/>
            </w:pPr>
            <w:r>
              <w:rPr>
                <w:rFonts w:ascii="Calibri" w:hAnsi="Calibri"/>
                <w:sz w:val="17"/>
              </w:rPr>
              <w:t>Net divisible pool computation matrix (Gross Collections, Deductions/Refunds, Net Divisible Total, Local Body Share Allocation).</w:t>
            </w:r>
          </w:p>
        </w:tc>
      </w:tr>
      <w:tr>
        <w:tc>
          <w:tcPr>
            <w:tcW w:type="dxa" w:w="3744"/>
            <w:shd w:fill="FFFFFF"/>
            <w:tcMar>
              <w:top w:w="60" w:type="dxa"/>
              <w:bottom w:w="60" w:type="dxa"/>
              <w:left w:w="100" w:type="dxa"/>
              <w:right w:w="100" w:type="dxa"/>
            </w:tcMar>
            <w:vAlign w:val="top"/>
          </w:tcPr>
          <w:p>
            <w:pPr>
              <w:spacing w:before="30" w:after="30" w:line="252" w:lineRule="auto"/>
            </w:pPr>
            <w:r>
              <w:rPr>
                <w:rFonts w:ascii="Calibri" w:hAnsi="Calibri"/>
                <w:sz w:val="17"/>
              </w:rPr>
              <w:t>rev_devolution_claim</w:t>
            </w:r>
          </w:p>
        </w:tc>
        <w:tc>
          <w:tcPr>
            <w:tcW w:type="dxa" w:w="7344"/>
            <w:shd w:fill="FFFFFF"/>
            <w:tcMar>
              <w:top w:w="60" w:type="dxa"/>
              <w:bottom w:w="60" w:type="dxa"/>
              <w:left w:w="100" w:type="dxa"/>
              <w:right w:w="100" w:type="dxa"/>
            </w:tcMar>
            <w:vAlign w:val="top"/>
          </w:tcPr>
          <w:p>
            <w:pPr>
              <w:spacing w:before="30" w:after="30" w:line="252" w:lineRule="auto"/>
            </w:pPr>
            <w:r>
              <w:rPr>
                <w:rFonts w:ascii="Calibri" w:hAnsi="Calibri"/>
                <w:sz w:val="17"/>
              </w:rPr>
              <w:t>Local body quarterly/monthly revenue devolution claim submissions (Local Body ID, Source Head, Claimed Amount, Verification Status).</w:t>
            </w:r>
          </w:p>
        </w:tc>
      </w:tr>
      <w:tr>
        <w:tc>
          <w:tcPr>
            <w:tcW w:type="dxa" w:w="3744"/>
            <w:shd w:fill="F8FAFC"/>
            <w:tcMar>
              <w:top w:w="60" w:type="dxa"/>
              <w:bottom w:w="60" w:type="dxa"/>
              <w:left w:w="100" w:type="dxa"/>
              <w:right w:w="100" w:type="dxa"/>
            </w:tcMar>
            <w:vAlign w:val="top"/>
          </w:tcPr>
          <w:p>
            <w:pPr>
              <w:spacing w:before="30" w:after="30" w:line="252" w:lineRule="auto"/>
            </w:pPr>
            <w:r>
              <w:rPr>
                <w:rFonts w:ascii="Calibri" w:hAnsi="Calibri"/>
                <w:sz w:val="17"/>
              </w:rPr>
              <w:t>rev_devolution_advice</w:t>
            </w:r>
          </w:p>
        </w:tc>
        <w:tc>
          <w:tcPr>
            <w:tcW w:type="dxa" w:w="7344"/>
            <w:shd w:fill="F8FAFC"/>
            <w:tcMar>
              <w:top w:w="60" w:type="dxa"/>
              <w:bottom w:w="60" w:type="dxa"/>
              <w:left w:w="100" w:type="dxa"/>
              <w:right w:w="100" w:type="dxa"/>
            </w:tcMar>
            <w:vAlign w:val="top"/>
          </w:tcPr>
          <w:p>
            <w:pPr>
              <w:spacing w:before="30" w:after="30" w:line="252" w:lineRule="auto"/>
            </w:pPr>
            <w:r>
              <w:rPr>
                <w:rFonts w:ascii="Calibri" w:hAnsi="Calibri"/>
                <w:sz w:val="17"/>
              </w:rPr>
              <w:t>Devolution payment advice and Treasury transfer sanction order (Advice No, Local Body Bank Account/IFSC, Debit Head 3604, Sanction Amount, Status).</w:t>
            </w:r>
          </w:p>
        </w:tc>
      </w:tr>
      <w:tr>
        <w:tc>
          <w:tcPr>
            <w:tcW w:type="dxa" w:w="3744"/>
            <w:shd w:fill="FFFFFF"/>
            <w:tcMar>
              <w:top w:w="60" w:type="dxa"/>
              <w:bottom w:w="60" w:type="dxa"/>
              <w:left w:w="100" w:type="dxa"/>
              <w:right w:w="100" w:type="dxa"/>
            </w:tcMar>
            <w:vAlign w:val="top"/>
          </w:tcPr>
          <w:p>
            <w:pPr>
              <w:spacing w:before="30" w:after="30" w:line="252" w:lineRule="auto"/>
            </w:pPr>
            <w:r>
              <w:rPr>
                <w:rFonts w:ascii="Calibri" w:hAnsi="Calibri"/>
                <w:sz w:val="17"/>
              </w:rPr>
              <w:t>rev_local_body</w:t>
            </w:r>
          </w:p>
        </w:tc>
        <w:tc>
          <w:tcPr>
            <w:tcW w:type="dxa" w:w="7344"/>
            <w:shd w:fill="FFFFFF"/>
            <w:tcMar>
              <w:top w:w="60" w:type="dxa"/>
              <w:bottom w:w="60" w:type="dxa"/>
              <w:left w:w="100" w:type="dxa"/>
              <w:right w:w="100" w:type="dxa"/>
            </w:tcMar>
            <w:vAlign w:val="top"/>
          </w:tcPr>
          <w:p>
            <w:pPr>
              <w:spacing w:before="30" w:after="30" w:line="252" w:lineRule="auto"/>
            </w:pPr>
            <w:r>
              <w:rPr>
                <w:rFonts w:ascii="Calibri" w:hAnsi="Calibri"/>
                <w:sz w:val="17"/>
              </w:rPr>
              <w:t>Local civic bodies master directory (MCD, NDMC, Delhi Cantonment Board - Body Code, Name, Bank Account, IFSC, Nodal Contact).</w:t>
            </w:r>
          </w:p>
        </w:tc>
      </w:tr>
      <w:tr>
        <w:tc>
          <w:tcPr>
            <w:tcW w:type="dxa" w:w="3744"/>
            <w:shd w:fill="F8FAFC"/>
            <w:tcMar>
              <w:top w:w="60" w:type="dxa"/>
              <w:bottom w:w="60" w:type="dxa"/>
              <w:left w:w="100" w:type="dxa"/>
              <w:right w:w="100" w:type="dxa"/>
            </w:tcMar>
            <w:vAlign w:val="top"/>
          </w:tcPr>
          <w:p>
            <w:pPr>
              <w:spacing w:before="30" w:after="30" w:line="252" w:lineRule="auto"/>
            </w:pPr>
            <w:r>
              <w:rPr>
                <w:rFonts w:ascii="Calibri" w:hAnsi="Calibri"/>
                <w:sz w:val="17"/>
              </w:rPr>
              <w:t>rev_suspense_register</w:t>
            </w:r>
          </w:p>
        </w:tc>
        <w:tc>
          <w:tcPr>
            <w:tcW w:type="dxa" w:w="7344"/>
            <w:shd w:fill="F8FAFC"/>
            <w:tcMar>
              <w:top w:w="60" w:type="dxa"/>
              <w:bottom w:w="60" w:type="dxa"/>
              <w:left w:w="100" w:type="dxa"/>
              <w:right w:w="100" w:type="dxa"/>
            </w:tcMar>
            <w:vAlign w:val="top"/>
          </w:tcPr>
          <w:p>
            <w:pPr>
              <w:spacing w:before="30" w:after="30" w:line="252" w:lineRule="auto"/>
            </w:pPr>
            <w:r>
              <w:rPr>
                <w:rFonts w:ascii="Calibri" w:hAnsi="Calibri"/>
                <w:sz w:val="17"/>
              </w:rPr>
              <w:t>Tracking register for unadjusted receipts in 8658-102 (Suspense Accounts - Treasury) and 8658-101 (Reserve Bank Suspense - RAT).</w:t>
            </w:r>
          </w:p>
        </w:tc>
      </w:tr>
      <w:tr>
        <w:tc>
          <w:tcPr>
            <w:tcW w:type="dxa" w:w="3744"/>
            <w:shd w:fill="FFFFFF"/>
            <w:tcMar>
              <w:top w:w="60" w:type="dxa"/>
              <w:bottom w:w="60" w:type="dxa"/>
              <w:left w:w="100" w:type="dxa"/>
              <w:right w:w="100" w:type="dxa"/>
            </w:tcMar>
            <w:vAlign w:val="top"/>
          </w:tcPr>
          <w:p>
            <w:pPr>
              <w:spacing w:before="30" w:after="30" w:line="252" w:lineRule="auto"/>
            </w:pPr>
            <w:r>
              <w:rPr>
                <w:rFonts w:ascii="Calibri" w:hAnsi="Calibri"/>
                <w:sz w:val="17"/>
              </w:rPr>
              <w:t>rev_system_config</w:t>
            </w:r>
          </w:p>
        </w:tc>
        <w:tc>
          <w:tcPr>
            <w:tcW w:type="dxa" w:w="7344"/>
            <w:shd w:fill="FFFFFF"/>
            <w:tcMar>
              <w:top w:w="60" w:type="dxa"/>
              <w:bottom w:w="60" w:type="dxa"/>
              <w:left w:w="100" w:type="dxa"/>
              <w:right w:w="100" w:type="dxa"/>
            </w:tcMar>
            <w:vAlign w:val="top"/>
          </w:tcPr>
          <w:p>
            <w:pPr>
              <w:spacing w:before="30" w:after="30" w:line="252" w:lineRule="auto"/>
            </w:pPr>
            <w:r>
              <w:rPr>
                <w:rFonts w:ascii="Calibri" w:hAnsi="Calibri"/>
                <w:sz w:val="17"/>
              </w:rPr>
              <w:t>System parameters (Financial Year 2026-27, Demo Business Date, Amount Tolerance Rs 0.01, Date Tolerance 2 days, Default Penal Rate 12.00%).</w:t>
            </w:r>
          </w:p>
        </w:tc>
      </w:tr>
      <w:tr>
        <w:tc>
          <w:tcPr>
            <w:tcW w:type="dxa" w:w="3744"/>
            <w:shd w:fill="F8FAFC"/>
            <w:tcMar>
              <w:top w:w="60" w:type="dxa"/>
              <w:bottom w:w="60" w:type="dxa"/>
              <w:left w:w="100" w:type="dxa"/>
              <w:right w:w="100" w:type="dxa"/>
            </w:tcMar>
            <w:vAlign w:val="top"/>
          </w:tcPr>
          <w:p>
            <w:pPr>
              <w:spacing w:before="30" w:after="30" w:line="252" w:lineRule="auto"/>
            </w:pPr>
            <w:r>
              <w:rPr>
                <w:rFonts w:ascii="Calibri" w:hAnsi="Calibri"/>
                <w:sz w:val="17"/>
              </w:rPr>
              <w:t>rev_system_notifications</w:t>
            </w:r>
          </w:p>
        </w:tc>
        <w:tc>
          <w:tcPr>
            <w:tcW w:type="dxa" w:w="7344"/>
            <w:shd w:fill="F8FAFC"/>
            <w:tcMar>
              <w:top w:w="60" w:type="dxa"/>
              <w:bottom w:w="60" w:type="dxa"/>
              <w:left w:w="100" w:type="dxa"/>
              <w:right w:w="100" w:type="dxa"/>
            </w:tcMar>
            <w:vAlign w:val="top"/>
          </w:tcPr>
          <w:p>
            <w:pPr>
              <w:spacing w:before="30" w:after="30" w:line="252" w:lineRule="auto"/>
            </w:pPr>
            <w:r>
              <w:rPr>
                <w:rFonts w:ascii="Calibri" w:hAnsi="Calibri"/>
                <w:sz w:val="17"/>
              </w:rPr>
              <w:t>Real-time system alerts and workflow task notifications routed to user roles (PAO_CHECKER, BANK_OPS, TRE_ADMIN, DDO).</w:t>
            </w:r>
          </w:p>
        </w:tc>
      </w:tr>
      <w:tr>
        <w:tc>
          <w:tcPr>
            <w:tcW w:type="dxa" w:w="3744"/>
            <w:shd w:fill="FFFFFF"/>
            <w:tcMar>
              <w:top w:w="60" w:type="dxa"/>
              <w:bottom w:w="60" w:type="dxa"/>
              <w:left w:w="100" w:type="dxa"/>
              <w:right w:w="100" w:type="dxa"/>
            </w:tcMar>
            <w:vAlign w:val="top"/>
          </w:tcPr>
          <w:p>
            <w:pPr>
              <w:spacing w:before="30" w:after="30" w:line="252" w:lineRule="auto"/>
            </w:pPr>
            <w:r>
              <w:rPr>
                <w:rFonts w:ascii="Calibri" w:hAnsi="Calibri"/>
                <w:sz w:val="17"/>
              </w:rPr>
              <w:t>rev_upload_batch</w:t>
            </w:r>
          </w:p>
        </w:tc>
        <w:tc>
          <w:tcPr>
            <w:tcW w:type="dxa" w:w="7344"/>
            <w:shd w:fill="FFFFFF"/>
            <w:tcMar>
              <w:top w:w="60" w:type="dxa"/>
              <w:bottom w:w="60" w:type="dxa"/>
              <w:left w:w="100" w:type="dxa"/>
              <w:right w:w="100" w:type="dxa"/>
            </w:tcMar>
            <w:vAlign w:val="top"/>
          </w:tcPr>
          <w:p>
            <w:pPr>
              <w:spacing w:before="30" w:after="30" w:line="252" w:lineRule="auto"/>
            </w:pPr>
            <w:r>
              <w:rPr>
                <w:rFonts w:ascii="Calibri" w:hAnsi="Calibri"/>
                <w:sz w:val="17"/>
              </w:rPr>
              <w:t>Staging batch ingestion header for uploads (Batch No, File Name, Source Type, Total Records, Success Count, Rejected Count, Status).</w:t>
            </w:r>
          </w:p>
        </w:tc>
      </w:tr>
    </w:tbl>
    <w:p>
      <w:pPr>
        <w:spacing w:before="180" w:after="40"/>
      </w:pPr>
      <w:r>
        <w:rPr>
          <w:rFonts w:ascii="Calibri" w:hAnsi="Calibri"/>
          <w:b/>
          <w:color w:val="026AA2"/>
          <w:sz w:val="22"/>
        </w:rPr>
        <w:t>3.2 Views (6)</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544"/>
        <w:gridCol w:w="5544"/>
      </w:tblGrid>
      <w:tr>
        <w:tc>
          <w:tcPr>
            <w:tcW w:type="dxa" w:w="3744"/>
            <w:shd w:fill="0B2240"/>
            <w:tcMar>
              <w:top w:w="90" w:type="dxa"/>
              <w:bottom w:w="90" w:type="dxa"/>
              <w:left w:w="120" w:type="dxa"/>
              <w:right w:w="120" w:type="dxa"/>
            </w:tcMar>
            <w:vAlign w:val="center"/>
          </w:tcPr>
          <w:p>
            <w:pPr>
              <w:spacing w:before="40" w:after="40"/>
            </w:pPr>
            <w:r>
              <w:rPr>
                <w:rFonts w:ascii="Calibri" w:hAnsi="Calibri"/>
                <w:b/>
                <w:color w:val="FFFFFF"/>
                <w:sz w:val="18"/>
              </w:rPr>
              <w:t>View</w:t>
            </w:r>
          </w:p>
        </w:tc>
        <w:tc>
          <w:tcPr>
            <w:tcW w:type="dxa" w:w="7344"/>
            <w:shd w:fill="0B2240"/>
            <w:tcMar>
              <w:top w:w="90" w:type="dxa"/>
              <w:bottom w:w="90" w:type="dxa"/>
              <w:left w:w="120" w:type="dxa"/>
              <w:right w:w="120" w:type="dxa"/>
            </w:tcMar>
            <w:vAlign w:val="center"/>
          </w:tcPr>
          <w:p>
            <w:pPr>
              <w:spacing w:before="40" w:after="40"/>
            </w:pPr>
            <w:r>
              <w:rPr>
                <w:rFonts w:ascii="Calibri" w:hAnsi="Calibri"/>
                <w:b/>
                <w:color w:val="FFFFFF"/>
                <w:sz w:val="18"/>
              </w:rPr>
              <w:t>Purpose</w:t>
            </w:r>
          </w:p>
        </w:tc>
      </w:tr>
      <w:tr>
        <w:tc>
          <w:tcPr>
            <w:tcW w:type="dxa" w:w="3744"/>
            <w:shd w:fill="FFFFFF"/>
            <w:tcMar>
              <w:top w:w="60" w:type="dxa"/>
              <w:bottom w:w="60" w:type="dxa"/>
              <w:left w:w="100" w:type="dxa"/>
              <w:right w:w="100" w:type="dxa"/>
            </w:tcMar>
            <w:vAlign w:val="top"/>
          </w:tcPr>
          <w:p>
            <w:pPr>
              <w:spacing w:before="30" w:after="30" w:line="252" w:lineRule="auto"/>
            </w:pPr>
            <w:r>
              <w:rPr>
                <w:rFonts w:ascii="Calibri" w:hAnsi="Calibri"/>
                <w:sz w:val="17"/>
              </w:rPr>
              <w:t>rev_vw_3way_recon_summary</w:t>
            </w:r>
          </w:p>
        </w:tc>
        <w:tc>
          <w:tcPr>
            <w:tcW w:type="dxa" w:w="7344"/>
            <w:shd w:fill="FFFFFF"/>
            <w:tcMar>
              <w:top w:w="60" w:type="dxa"/>
              <w:bottom w:w="60" w:type="dxa"/>
              <w:left w:w="100" w:type="dxa"/>
              <w:right w:w="100" w:type="dxa"/>
            </w:tcMar>
            <w:vAlign w:val="top"/>
          </w:tcPr>
          <w:p>
            <w:pPr>
              <w:spacing w:before="30" w:after="30" w:line="252" w:lineRule="auto"/>
            </w:pPr>
            <w:r>
              <w:rPr>
                <w:rFonts w:ascii="Calibri" w:hAnsi="Calibri"/>
                <w:sz w:val="17"/>
              </w:rPr>
              <w:t>Aggregates 3-way matched counts, amount variances, portal total, bank total, and RBI total grouped by Date, Source, and Status.</w:t>
            </w:r>
          </w:p>
        </w:tc>
      </w:tr>
      <w:tr>
        <w:tc>
          <w:tcPr>
            <w:tcW w:type="dxa" w:w="3744"/>
            <w:shd w:fill="F8FAFC"/>
            <w:tcMar>
              <w:top w:w="60" w:type="dxa"/>
              <w:bottom w:w="60" w:type="dxa"/>
              <w:left w:w="100" w:type="dxa"/>
              <w:right w:w="100" w:type="dxa"/>
            </w:tcMar>
            <w:vAlign w:val="top"/>
          </w:tcPr>
          <w:p>
            <w:pPr>
              <w:spacing w:before="30" w:after="30" w:line="252" w:lineRule="auto"/>
            </w:pPr>
            <w:r>
              <w:rPr>
                <w:rFonts w:ascii="Calibri" w:hAnsi="Calibri"/>
                <w:sz w:val="17"/>
              </w:rPr>
              <w:t>rev_vw_bank_sla_performance</w:t>
            </w:r>
          </w:p>
        </w:tc>
        <w:tc>
          <w:tcPr>
            <w:tcW w:type="dxa" w:w="7344"/>
            <w:shd w:fill="F8FAFC"/>
            <w:tcMar>
              <w:top w:w="60" w:type="dxa"/>
              <w:bottom w:w="60" w:type="dxa"/>
              <w:left w:w="100" w:type="dxa"/>
              <w:right w:w="100" w:type="dxa"/>
            </w:tcMar>
            <w:vAlign w:val="top"/>
          </w:tcPr>
          <w:p>
            <w:pPr>
              <w:spacing w:before="30" w:after="30" w:line="252" w:lineRule="auto"/>
            </w:pPr>
            <w:r>
              <w:rPr>
                <w:rFonts w:ascii="Calibri" w:hAnsi="Calibri"/>
                <w:sz w:val="17"/>
              </w:rPr>
              <w:t>Rolls up agency bank compliance rates, on-time remittance percentages, average delay days, and total accrued penal interest.</w:t>
            </w:r>
          </w:p>
        </w:tc>
      </w:tr>
      <w:tr>
        <w:tc>
          <w:tcPr>
            <w:tcW w:type="dxa" w:w="3744"/>
            <w:shd w:fill="FFFFFF"/>
            <w:tcMar>
              <w:top w:w="60" w:type="dxa"/>
              <w:bottom w:w="60" w:type="dxa"/>
              <w:left w:w="100" w:type="dxa"/>
              <w:right w:w="100" w:type="dxa"/>
            </w:tcMar>
            <w:vAlign w:val="top"/>
          </w:tcPr>
          <w:p>
            <w:pPr>
              <w:spacing w:before="30" w:after="30" w:line="252" w:lineRule="auto"/>
            </w:pPr>
            <w:r>
              <w:rPr>
                <w:rFonts w:ascii="Calibri" w:hAnsi="Calibri"/>
                <w:sz w:val="17"/>
              </w:rPr>
              <w:t>rev_vw_dashboard_kpis</w:t>
            </w:r>
          </w:p>
        </w:tc>
        <w:tc>
          <w:tcPr>
            <w:tcW w:type="dxa" w:w="7344"/>
            <w:shd w:fill="FFFFFF"/>
            <w:tcMar>
              <w:top w:w="60" w:type="dxa"/>
              <w:bottom w:w="60" w:type="dxa"/>
              <w:left w:w="100" w:type="dxa"/>
              <w:right w:w="100" w:type="dxa"/>
            </w:tcMar>
            <w:vAlign w:val="top"/>
          </w:tcPr>
          <w:p>
            <w:pPr>
              <w:spacing w:before="30" w:after="30" w:line="252" w:lineRule="auto"/>
            </w:pPr>
            <w:r>
              <w:rPr>
                <w:rFonts w:ascii="Calibri" w:hAnsi="Calibri"/>
                <w:sz w:val="17"/>
              </w:rPr>
              <w:t>Real-time executive KPI feed: gross receipts, 3-way match rate %, total unresolved exceptions, and pending refund authorizations.</w:t>
            </w:r>
          </w:p>
        </w:tc>
      </w:tr>
      <w:tr>
        <w:tc>
          <w:tcPr>
            <w:tcW w:type="dxa" w:w="3744"/>
            <w:shd w:fill="F8FAFC"/>
            <w:tcMar>
              <w:top w:w="60" w:type="dxa"/>
              <w:bottom w:w="60" w:type="dxa"/>
              <w:left w:w="100" w:type="dxa"/>
              <w:right w:w="100" w:type="dxa"/>
            </w:tcMar>
            <w:vAlign w:val="top"/>
          </w:tcPr>
          <w:p>
            <w:pPr>
              <w:spacing w:before="30" w:after="30" w:line="252" w:lineRule="auto"/>
            </w:pPr>
            <w:r>
              <w:rPr>
                <w:rFonts w:ascii="Calibri" w:hAnsi="Calibri"/>
                <w:sz w:val="17"/>
              </w:rPr>
              <w:t>rev_vw_suspense_and_rat</w:t>
            </w:r>
          </w:p>
        </w:tc>
        <w:tc>
          <w:tcPr>
            <w:tcW w:type="dxa" w:w="7344"/>
            <w:shd w:fill="F8FAFC"/>
            <w:tcMar>
              <w:top w:w="60" w:type="dxa"/>
              <w:bottom w:w="60" w:type="dxa"/>
              <w:left w:w="100" w:type="dxa"/>
              <w:right w:w="100" w:type="dxa"/>
            </w:tcMar>
            <w:vAlign w:val="top"/>
          </w:tcPr>
          <w:p>
            <w:pPr>
              <w:spacing w:before="30" w:after="30" w:line="252" w:lineRule="auto"/>
            </w:pPr>
            <w:r>
              <w:rPr>
                <w:rFonts w:ascii="Calibri" w:hAnsi="Calibri"/>
                <w:sz w:val="17"/>
              </w:rPr>
              <w:t>Inquiry view for open balances in Treasury Suspense (8658-102) and Reserve Bank Suspense (8658-101) with aging breakdown.</w:t>
            </w:r>
          </w:p>
        </w:tc>
      </w:tr>
      <w:tr>
        <w:tc>
          <w:tcPr>
            <w:tcW w:type="dxa" w:w="3744"/>
            <w:shd w:fill="FFFFFF"/>
            <w:tcMar>
              <w:top w:w="60" w:type="dxa"/>
              <w:bottom w:w="60" w:type="dxa"/>
              <w:left w:w="100" w:type="dxa"/>
              <w:right w:w="100" w:type="dxa"/>
            </w:tcMar>
            <w:vAlign w:val="top"/>
          </w:tcPr>
          <w:p>
            <w:pPr>
              <w:spacing w:before="30" w:after="30" w:line="252" w:lineRule="auto"/>
            </w:pPr>
            <w:r>
              <w:rPr>
                <w:rFonts w:ascii="Calibri" w:hAnsi="Calibri"/>
                <w:sz w:val="17"/>
              </w:rPr>
              <w:t>vw_active_chart_of_accounts</w:t>
            </w:r>
          </w:p>
        </w:tc>
        <w:tc>
          <w:tcPr>
            <w:tcW w:type="dxa" w:w="7344"/>
            <w:shd w:fill="FFFFFF"/>
            <w:tcMar>
              <w:top w:w="60" w:type="dxa"/>
              <w:bottom w:w="60" w:type="dxa"/>
              <w:left w:w="100" w:type="dxa"/>
              <w:right w:w="100" w:type="dxa"/>
            </w:tcMar>
            <w:vAlign w:val="top"/>
          </w:tcPr>
          <w:p>
            <w:pPr>
              <w:spacing w:before="30" w:after="30" w:line="252" w:lineRule="auto"/>
            </w:pPr>
            <w:r>
              <w:rPr>
                <w:rFonts w:ascii="Calibri" w:hAnsi="Calibri"/>
                <w:sz w:val="17"/>
              </w:rPr>
              <w:t>Filterable active Head of Account hierarchy (Major Head, Minor Head, Sub Head, Detail Head, Object Head) for revenue posting.</w:t>
            </w:r>
          </w:p>
        </w:tc>
      </w:tr>
      <w:tr>
        <w:tc>
          <w:tcPr>
            <w:tcW w:type="dxa" w:w="3744"/>
            <w:shd w:fill="F8FAFC"/>
            <w:tcMar>
              <w:top w:w="60" w:type="dxa"/>
              <w:bottom w:w="60" w:type="dxa"/>
              <w:left w:w="100" w:type="dxa"/>
              <w:right w:w="100" w:type="dxa"/>
            </w:tcMar>
            <w:vAlign w:val="top"/>
          </w:tcPr>
          <w:p>
            <w:pPr>
              <w:spacing w:before="30" w:after="30" w:line="252" w:lineRule="auto"/>
            </w:pPr>
            <w:r>
              <w:rPr>
                <w:rFonts w:ascii="Calibri" w:hAnsi="Calibri"/>
                <w:sz w:val="17"/>
              </w:rPr>
              <w:t>vw_chart_of_accounts</w:t>
            </w:r>
          </w:p>
        </w:tc>
        <w:tc>
          <w:tcPr>
            <w:tcW w:type="dxa" w:w="7344"/>
            <w:shd w:fill="F8FAFC"/>
            <w:tcMar>
              <w:top w:w="60" w:type="dxa"/>
              <w:bottom w:w="60" w:type="dxa"/>
              <w:left w:w="100" w:type="dxa"/>
              <w:right w:w="100" w:type="dxa"/>
            </w:tcMar>
            <w:vAlign w:val="top"/>
          </w:tcPr>
          <w:p>
            <w:pPr>
              <w:spacing w:before="30" w:after="30" w:line="252" w:lineRule="auto"/>
            </w:pPr>
            <w:r>
              <w:rPr>
                <w:rFonts w:ascii="Calibri" w:hAnsi="Calibri"/>
                <w:sz w:val="17"/>
              </w:rPr>
              <w:t>Comprehensive 15-digit IFMS Chart of Accounts master view joined across 6 tier tables.</w:t>
            </w:r>
          </w:p>
        </w:tc>
      </w:tr>
    </w:tbl>
    <w:p>
      <w:pPr>
        <w:spacing w:before="180" w:after="40"/>
      </w:pPr>
      <w:r>
        <w:rPr>
          <w:rFonts w:ascii="Calibri" w:hAnsi="Calibri"/>
          <w:b/>
          <w:color w:val="026AA2"/>
          <w:sz w:val="22"/>
        </w:rPr>
        <w:t>3.3 Functions &amp; Sequences (8)</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544"/>
        <w:gridCol w:w="5544"/>
      </w:tblGrid>
      <w:tr>
        <w:tc>
          <w:tcPr>
            <w:tcW w:type="dxa" w:w="3744"/>
            <w:shd w:fill="0B2240"/>
            <w:tcMar>
              <w:top w:w="90" w:type="dxa"/>
              <w:bottom w:w="90" w:type="dxa"/>
              <w:left w:w="120" w:type="dxa"/>
              <w:right w:w="120" w:type="dxa"/>
            </w:tcMar>
            <w:vAlign w:val="center"/>
          </w:tcPr>
          <w:p>
            <w:pPr>
              <w:spacing w:before="40" w:after="40"/>
            </w:pPr>
            <w:r>
              <w:rPr>
                <w:rFonts w:ascii="Calibri" w:hAnsi="Calibri"/>
                <w:b/>
                <w:color w:val="FFFFFF"/>
                <w:sz w:val="18"/>
              </w:rPr>
              <w:t>Function / Sequence</w:t>
            </w:r>
          </w:p>
        </w:tc>
        <w:tc>
          <w:tcPr>
            <w:tcW w:type="dxa" w:w="7344"/>
            <w:shd w:fill="0B2240"/>
            <w:tcMar>
              <w:top w:w="90" w:type="dxa"/>
              <w:bottom w:w="90" w:type="dxa"/>
              <w:left w:w="120" w:type="dxa"/>
              <w:right w:w="120" w:type="dxa"/>
            </w:tcMar>
            <w:vAlign w:val="center"/>
          </w:tcPr>
          <w:p>
            <w:pPr>
              <w:spacing w:before="40" w:after="40"/>
            </w:pPr>
            <w:r>
              <w:rPr>
                <w:rFonts w:ascii="Calibri" w:hAnsi="Calibri"/>
                <w:b/>
                <w:color w:val="FFFFFF"/>
                <w:sz w:val="18"/>
              </w:rPr>
              <w:t>Purpose</w:t>
            </w:r>
          </w:p>
        </w:tc>
      </w:tr>
      <w:tr>
        <w:tc>
          <w:tcPr>
            <w:tcW w:type="dxa" w:w="3744"/>
            <w:shd w:fill="FFFFFF"/>
            <w:tcMar>
              <w:top w:w="60" w:type="dxa"/>
              <w:bottom w:w="60" w:type="dxa"/>
              <w:left w:w="100" w:type="dxa"/>
              <w:right w:w="100" w:type="dxa"/>
            </w:tcMar>
            <w:vAlign w:val="top"/>
          </w:tcPr>
          <w:p>
            <w:pPr>
              <w:spacing w:before="30" w:after="30" w:line="252" w:lineRule="auto"/>
            </w:pPr>
            <w:r>
              <w:rPr>
                <w:rFonts w:ascii="Calibri" w:hAnsi="Calibri"/>
                <w:sz w:val="17"/>
              </w:rPr>
              <w:t>rev_fn_calculate_penal_interest(amount, rate, days)</w:t>
            </w:r>
          </w:p>
        </w:tc>
        <w:tc>
          <w:tcPr>
            <w:tcW w:type="dxa" w:w="7344"/>
            <w:shd w:fill="FFFFFF"/>
            <w:tcMar>
              <w:top w:w="60" w:type="dxa"/>
              <w:bottom w:w="60" w:type="dxa"/>
              <w:left w:w="100" w:type="dxa"/>
              <w:right w:w="100" w:type="dxa"/>
            </w:tcMar>
            <w:vAlign w:val="top"/>
          </w:tcPr>
          <w:p>
            <w:pPr>
              <w:spacing w:before="30" w:after="30" w:line="252" w:lineRule="auto"/>
            </w:pPr>
            <w:r>
              <w:rPr>
                <w:rFonts w:ascii="Calibri" w:hAnsi="Calibri"/>
                <w:sz w:val="17"/>
              </w:rPr>
              <w:t>Calculates daily pro-rata penal interest on late remittances via (P * R * T / 365).</w:t>
            </w:r>
          </w:p>
        </w:tc>
      </w:tr>
      <w:tr>
        <w:tc>
          <w:tcPr>
            <w:tcW w:type="dxa" w:w="3744"/>
            <w:shd w:fill="F8FAFC"/>
            <w:tcMar>
              <w:top w:w="60" w:type="dxa"/>
              <w:bottom w:w="60" w:type="dxa"/>
              <w:left w:w="100" w:type="dxa"/>
              <w:right w:w="100" w:type="dxa"/>
            </w:tcMar>
            <w:vAlign w:val="top"/>
          </w:tcPr>
          <w:p>
            <w:pPr>
              <w:spacing w:before="30" w:after="30" w:line="252" w:lineRule="auto"/>
            </w:pPr>
            <w:r>
              <w:rPr>
                <w:rFonts w:ascii="Calibri" w:hAnsi="Calibri"/>
                <w:sz w:val="17"/>
              </w:rPr>
              <w:t>rev_fn_net_divisible_pool(gross, refunds, deductions)</w:t>
            </w:r>
          </w:p>
        </w:tc>
        <w:tc>
          <w:tcPr>
            <w:tcW w:type="dxa" w:w="7344"/>
            <w:shd w:fill="F8FAFC"/>
            <w:tcMar>
              <w:top w:w="60" w:type="dxa"/>
              <w:bottom w:w="60" w:type="dxa"/>
              <w:left w:w="100" w:type="dxa"/>
              <w:right w:w="100" w:type="dxa"/>
            </w:tcMar>
            <w:vAlign w:val="top"/>
          </w:tcPr>
          <w:p>
            <w:pPr>
              <w:spacing w:before="30" w:after="30" w:line="252" w:lineRule="auto"/>
            </w:pPr>
            <w:r>
              <w:rPr>
                <w:rFonts w:ascii="Calibri" w:hAnsi="Calibri"/>
                <w:sz w:val="17"/>
              </w:rPr>
              <w:t>Computes statutory net divisible pool for local body revenue devolution.</w:t>
            </w:r>
          </w:p>
        </w:tc>
      </w:tr>
      <w:tr>
        <w:tc>
          <w:tcPr>
            <w:tcW w:type="dxa" w:w="3744"/>
            <w:shd w:fill="FFFFFF"/>
            <w:tcMar>
              <w:top w:w="60" w:type="dxa"/>
              <w:bottom w:w="60" w:type="dxa"/>
              <w:left w:w="100" w:type="dxa"/>
              <w:right w:w="100" w:type="dxa"/>
            </w:tcMar>
            <w:vAlign w:val="top"/>
          </w:tcPr>
          <w:p>
            <w:pPr>
              <w:spacing w:before="30" w:after="30" w:line="252" w:lineRule="auto"/>
            </w:pPr>
            <w:r>
              <w:rPr>
                <w:rFonts w:ascii="Calibri" w:hAnsi="Calibri"/>
                <w:sz w:val="17"/>
              </w:rPr>
              <w:t>rev_fn_next_sequence_number(doc_type, date)</w:t>
            </w:r>
          </w:p>
        </w:tc>
        <w:tc>
          <w:tcPr>
            <w:tcW w:type="dxa" w:w="7344"/>
            <w:shd w:fill="FFFFFF"/>
            <w:tcMar>
              <w:top w:w="60" w:type="dxa"/>
              <w:bottom w:w="60" w:type="dxa"/>
              <w:left w:w="100" w:type="dxa"/>
              <w:right w:w="100" w:type="dxa"/>
            </w:tcMar>
            <w:vAlign w:val="top"/>
          </w:tcPr>
          <w:p>
            <w:pPr>
              <w:spacing w:before="30" w:after="30" w:line="252" w:lineRule="auto"/>
            </w:pPr>
            <w:r>
              <w:rPr>
                <w:rFonts w:ascii="Calibri" w:hAnsi="Calibri"/>
                <w:sz w:val="17"/>
              </w:rPr>
              <w:t>Generates thread-safe standardized identifiers (REV-TXN-*, REC-*, RES-*, LTR-DISC-*, etc.).</w:t>
            </w:r>
          </w:p>
        </w:tc>
      </w:tr>
      <w:tr>
        <w:tc>
          <w:tcPr>
            <w:tcW w:type="dxa" w:w="3744"/>
            <w:shd w:fill="F8FAFC"/>
            <w:tcMar>
              <w:top w:w="60" w:type="dxa"/>
              <w:bottom w:w="60" w:type="dxa"/>
              <w:left w:w="100" w:type="dxa"/>
              <w:right w:w="100" w:type="dxa"/>
            </w:tcMar>
            <w:vAlign w:val="top"/>
          </w:tcPr>
          <w:p>
            <w:pPr>
              <w:spacing w:before="30" w:after="30" w:line="252" w:lineRule="auto"/>
            </w:pPr>
            <w:r>
              <w:rPr>
                <w:rFonts w:ascii="Calibri" w:hAnsi="Calibri"/>
                <w:sz w:val="17"/>
              </w:rPr>
              <w:t>rev_fn_match_3way_score(portal_amt, bank_amt, rbi_amt, tol)</w:t>
            </w:r>
          </w:p>
        </w:tc>
        <w:tc>
          <w:tcPr>
            <w:tcW w:type="dxa" w:w="7344"/>
            <w:shd w:fill="F8FAFC"/>
            <w:tcMar>
              <w:top w:w="60" w:type="dxa"/>
              <w:bottom w:w="60" w:type="dxa"/>
              <w:left w:w="100" w:type="dxa"/>
              <w:right w:w="100" w:type="dxa"/>
            </w:tcMar>
            <w:vAlign w:val="top"/>
          </w:tcPr>
          <w:p>
            <w:pPr>
              <w:spacing w:before="30" w:after="30" w:line="252" w:lineRule="auto"/>
            </w:pPr>
            <w:r>
              <w:rPr>
                <w:rFonts w:ascii="Calibri" w:hAnsi="Calibri"/>
                <w:sz w:val="17"/>
              </w:rPr>
              <w:t>Evaluates 3-way parity across legs and assigns matching confidence category.</w:t>
            </w:r>
          </w:p>
        </w:tc>
      </w:tr>
      <w:tr>
        <w:tc>
          <w:tcPr>
            <w:tcW w:type="dxa" w:w="3744"/>
            <w:shd w:fill="FFFFFF"/>
            <w:tcMar>
              <w:top w:w="60" w:type="dxa"/>
              <w:bottom w:w="60" w:type="dxa"/>
              <w:left w:w="100" w:type="dxa"/>
              <w:right w:w="100" w:type="dxa"/>
            </w:tcMar>
            <w:vAlign w:val="top"/>
          </w:tcPr>
          <w:p>
            <w:pPr>
              <w:spacing w:before="30" w:after="30" w:line="252" w:lineRule="auto"/>
            </w:pPr>
            <w:r>
              <w:rPr>
                <w:rFonts w:ascii="Calibri" w:hAnsi="Calibri"/>
                <w:sz w:val="17"/>
              </w:rPr>
              <w:t>rev_fn_audit_change_capture()</w:t>
            </w:r>
          </w:p>
        </w:tc>
        <w:tc>
          <w:tcPr>
            <w:tcW w:type="dxa" w:w="7344"/>
            <w:shd w:fill="FFFFFF"/>
            <w:tcMar>
              <w:top w:w="60" w:type="dxa"/>
              <w:bottom w:w="60" w:type="dxa"/>
              <w:left w:w="100" w:type="dxa"/>
              <w:right w:w="100" w:type="dxa"/>
            </w:tcMar>
            <w:vAlign w:val="top"/>
          </w:tcPr>
          <w:p>
            <w:pPr>
              <w:spacing w:before="30" w:after="30" w:line="252" w:lineRule="auto"/>
            </w:pPr>
            <w:r>
              <w:rPr>
                <w:rFonts w:ascii="Calibri" w:hAnsi="Calibri"/>
                <w:sz w:val="17"/>
              </w:rPr>
              <w:t>CDC trigger function logging row-level JSON old/new data to audit_change_log.</w:t>
            </w:r>
          </w:p>
        </w:tc>
      </w:tr>
      <w:tr>
        <w:tc>
          <w:tcPr>
            <w:tcW w:type="dxa" w:w="3744"/>
            <w:shd w:fill="F8FAFC"/>
            <w:tcMar>
              <w:top w:w="60" w:type="dxa"/>
              <w:bottom w:w="60" w:type="dxa"/>
              <w:left w:w="100" w:type="dxa"/>
              <w:right w:w="100" w:type="dxa"/>
            </w:tcMar>
            <w:vAlign w:val="top"/>
          </w:tcPr>
          <w:p>
            <w:pPr>
              <w:spacing w:before="30" w:after="30" w:line="252" w:lineRule="auto"/>
            </w:pPr>
            <w:r>
              <w:rPr>
                <w:rFonts w:ascii="Calibri" w:hAnsi="Calibri"/>
                <w:sz w:val="17"/>
              </w:rPr>
              <w:t>document_number_sequence</w:t>
            </w:r>
          </w:p>
        </w:tc>
        <w:tc>
          <w:tcPr>
            <w:tcW w:type="dxa" w:w="7344"/>
            <w:shd w:fill="F8FAFC"/>
            <w:tcMar>
              <w:top w:w="60" w:type="dxa"/>
              <w:bottom w:w="60" w:type="dxa"/>
              <w:left w:w="100" w:type="dxa"/>
              <w:right w:w="100" w:type="dxa"/>
            </w:tcMar>
            <w:vAlign w:val="top"/>
          </w:tcPr>
          <w:p>
            <w:pPr>
              <w:spacing w:before="30" w:after="30" w:line="252" w:lineRule="auto"/>
            </w:pPr>
            <w:r>
              <w:rPr>
                <w:rFonts w:ascii="Calibri" w:hAnsi="Calibri"/>
                <w:sz w:val="17"/>
              </w:rPr>
              <w:t>PostgreSQL sequence tracking per-document deterministic running sequence padding.</w:t>
            </w:r>
          </w:p>
        </w:tc>
      </w:tr>
      <w:tr>
        <w:tc>
          <w:tcPr>
            <w:tcW w:type="dxa" w:w="3744"/>
            <w:shd w:fill="FFFFFF"/>
            <w:tcMar>
              <w:top w:w="60" w:type="dxa"/>
              <w:bottom w:w="60" w:type="dxa"/>
              <w:left w:w="100" w:type="dxa"/>
              <w:right w:w="100" w:type="dxa"/>
            </w:tcMar>
            <w:vAlign w:val="top"/>
          </w:tcPr>
          <w:p>
            <w:pPr>
              <w:spacing w:before="30" w:after="30" w:line="252" w:lineRule="auto"/>
            </w:pPr>
            <w:r>
              <w:rPr>
                <w:rFonts w:ascii="Calibri" w:hAnsi="Calibri"/>
                <w:sz w:val="17"/>
              </w:rPr>
              <w:t>rev_system_notifications_notification_id_seq</w:t>
            </w:r>
          </w:p>
        </w:tc>
        <w:tc>
          <w:tcPr>
            <w:tcW w:type="dxa" w:w="7344"/>
            <w:shd w:fill="FFFFFF"/>
            <w:tcMar>
              <w:top w:w="60" w:type="dxa"/>
              <w:bottom w:w="60" w:type="dxa"/>
              <w:left w:w="100" w:type="dxa"/>
              <w:right w:w="100" w:type="dxa"/>
            </w:tcMar>
            <w:vAlign w:val="top"/>
          </w:tcPr>
          <w:p>
            <w:pPr>
              <w:spacing w:before="30" w:after="30" w:line="252" w:lineRule="auto"/>
            </w:pPr>
            <w:r>
              <w:rPr>
                <w:rFonts w:ascii="Calibri" w:hAnsi="Calibri"/>
                <w:sz w:val="17"/>
              </w:rPr>
              <w:t>Sequence for asynchronous push alerts to user notification drawers.</w:t>
            </w:r>
          </w:p>
        </w:tc>
      </w:tr>
      <w:tr>
        <w:tc>
          <w:tcPr>
            <w:tcW w:type="dxa" w:w="3744"/>
            <w:shd w:fill="F8FAFC"/>
            <w:tcMar>
              <w:top w:w="60" w:type="dxa"/>
              <w:bottom w:w="60" w:type="dxa"/>
              <w:left w:w="100" w:type="dxa"/>
              <w:right w:w="100" w:type="dxa"/>
            </w:tcMar>
            <w:vAlign w:val="top"/>
          </w:tcPr>
          <w:p>
            <w:pPr>
              <w:spacing w:before="30" w:after="30" w:line="252" w:lineRule="auto"/>
            </w:pPr>
            <w:r>
              <w:rPr>
                <w:rFonts w:ascii="Calibri" w:hAnsi="Calibri"/>
                <w:sz w:val="17"/>
              </w:rPr>
              <w:t>code_master_code_mst_id_seq</w:t>
            </w:r>
          </w:p>
        </w:tc>
        <w:tc>
          <w:tcPr>
            <w:tcW w:type="dxa" w:w="7344"/>
            <w:shd w:fill="F8FAFC"/>
            <w:tcMar>
              <w:top w:w="60" w:type="dxa"/>
              <w:bottom w:w="60" w:type="dxa"/>
              <w:left w:w="100" w:type="dxa"/>
              <w:right w:w="100" w:type="dxa"/>
            </w:tcMar>
            <w:vAlign w:val="top"/>
          </w:tcPr>
          <w:p>
            <w:pPr>
              <w:spacing w:before="30" w:after="30" w:line="252" w:lineRule="auto"/>
            </w:pPr>
            <w:r>
              <w:rPr>
                <w:rFonts w:ascii="Calibri" w:hAnsi="Calibri"/>
                <w:sz w:val="17"/>
              </w:rPr>
              <w:t>Sequence for administrative lookup code directory items.</w:t>
            </w:r>
          </w:p>
        </w:tc>
      </w:tr>
    </w:tbl>
    <w:p>
      <w:pPr>
        <w:spacing w:before="180" w:after="40"/>
      </w:pPr>
      <w:r>
        <w:rPr>
          <w:rFonts w:ascii="Calibri" w:hAnsi="Calibri"/>
          <w:b/>
          <w:color w:val="026AA2"/>
          <w:sz w:val="22"/>
        </w:rPr>
        <w:t>3.4 Procedures &amp; Service Engines (5)</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544"/>
        <w:gridCol w:w="5544"/>
      </w:tblGrid>
      <w:tr>
        <w:tc>
          <w:tcPr>
            <w:tcW w:type="dxa" w:w="3744"/>
            <w:shd w:fill="0B2240"/>
            <w:tcMar>
              <w:top w:w="90" w:type="dxa"/>
              <w:bottom w:w="90" w:type="dxa"/>
              <w:left w:w="120" w:type="dxa"/>
              <w:right w:w="120" w:type="dxa"/>
            </w:tcMar>
            <w:vAlign w:val="center"/>
          </w:tcPr>
          <w:p>
            <w:pPr>
              <w:spacing w:before="40" w:after="40"/>
            </w:pPr>
            <w:r>
              <w:rPr>
                <w:rFonts w:ascii="Calibri" w:hAnsi="Calibri"/>
                <w:b/>
                <w:color w:val="FFFFFF"/>
                <w:sz w:val="18"/>
              </w:rPr>
              <w:t>Procedure / Service Engine</w:t>
            </w:r>
          </w:p>
        </w:tc>
        <w:tc>
          <w:tcPr>
            <w:tcW w:type="dxa" w:w="7344"/>
            <w:shd w:fill="0B2240"/>
            <w:tcMar>
              <w:top w:w="90" w:type="dxa"/>
              <w:bottom w:w="90" w:type="dxa"/>
              <w:left w:w="120" w:type="dxa"/>
              <w:right w:w="120" w:type="dxa"/>
            </w:tcMar>
            <w:vAlign w:val="center"/>
          </w:tcPr>
          <w:p>
            <w:pPr>
              <w:spacing w:before="40" w:after="40"/>
            </w:pPr>
            <w:r>
              <w:rPr>
                <w:rFonts w:ascii="Calibri" w:hAnsi="Calibri"/>
                <w:b/>
                <w:color w:val="FFFFFF"/>
                <w:sz w:val="18"/>
              </w:rPr>
              <w:t>Purpose</w:t>
            </w:r>
          </w:p>
        </w:tc>
      </w:tr>
      <w:tr>
        <w:tc>
          <w:tcPr>
            <w:tcW w:type="dxa" w:w="3744"/>
            <w:shd w:fill="FFFFFF"/>
            <w:tcMar>
              <w:top w:w="60" w:type="dxa"/>
              <w:bottom w:w="60" w:type="dxa"/>
              <w:left w:w="100" w:type="dxa"/>
              <w:right w:w="100" w:type="dxa"/>
            </w:tcMar>
            <w:vAlign w:val="top"/>
          </w:tcPr>
          <w:p>
            <w:pPr>
              <w:spacing w:before="30" w:after="30" w:line="252" w:lineRule="auto"/>
            </w:pPr>
            <w:r>
              <w:rPr>
                <w:rFonts w:ascii="Calibri" w:hAnsi="Calibri"/>
                <w:sz w:val="17"/>
              </w:rPr>
              <w:t>ReconEngine.run_matching_batch(date, source)</w:t>
            </w:r>
          </w:p>
        </w:tc>
        <w:tc>
          <w:tcPr>
            <w:tcW w:type="dxa" w:w="7344"/>
            <w:shd w:fill="FFFFFF"/>
            <w:tcMar>
              <w:top w:w="60" w:type="dxa"/>
              <w:bottom w:w="60" w:type="dxa"/>
              <w:left w:w="100" w:type="dxa"/>
              <w:right w:w="100" w:type="dxa"/>
            </w:tcMar>
            <w:vAlign w:val="top"/>
          </w:tcPr>
          <w:p>
            <w:pPr>
              <w:spacing w:before="30" w:after="30" w:line="252" w:lineRule="auto"/>
            </w:pPr>
            <w:r>
              <w:rPr>
                <w:rFonts w:ascii="Calibri" w:hAnsi="Calibri"/>
                <w:sz w:val="17"/>
              </w:rPr>
              <w:t>Executes 3-way reconciliation matcher joining staging tables on (Challan No / CIN / CPIN), applies date/amount tolerance, populates rev_recon_result, flags exceptions.</w:t>
            </w:r>
          </w:p>
        </w:tc>
      </w:tr>
      <w:tr>
        <w:tc>
          <w:tcPr>
            <w:tcW w:type="dxa" w:w="3744"/>
            <w:shd w:fill="F8FAFC"/>
            <w:tcMar>
              <w:top w:w="60" w:type="dxa"/>
              <w:bottom w:w="60" w:type="dxa"/>
              <w:left w:w="100" w:type="dxa"/>
              <w:right w:w="100" w:type="dxa"/>
            </w:tcMar>
            <w:vAlign w:val="top"/>
          </w:tcPr>
          <w:p>
            <w:pPr>
              <w:spacing w:before="30" w:after="30" w:line="252" w:lineRule="auto"/>
            </w:pPr>
            <w:r>
              <w:rPr>
                <w:rFonts w:ascii="Calibri" w:hAnsi="Calibri"/>
                <w:sz w:val="17"/>
              </w:rPr>
              <w:t>ReconEngine.solve_discrepancy(recon_id, strategy, remarks)</w:t>
            </w:r>
          </w:p>
        </w:tc>
        <w:tc>
          <w:tcPr>
            <w:tcW w:type="dxa" w:w="7344"/>
            <w:shd w:fill="F8FAFC"/>
            <w:tcMar>
              <w:top w:w="60" w:type="dxa"/>
              <w:bottom w:w="60" w:type="dxa"/>
              <w:left w:w="100" w:type="dxa"/>
              <w:right w:w="100" w:type="dxa"/>
            </w:tcMar>
            <w:vAlign w:val="top"/>
          </w:tcPr>
          <w:p>
            <w:pPr>
              <w:spacing w:before="30" w:after="30" w:line="252" w:lineRule="auto"/>
            </w:pPr>
            <w:r>
              <w:rPr>
                <w:rFonts w:ascii="Calibri" w:hAnsi="Calibri"/>
                <w:sz w:val="17"/>
              </w:rPr>
              <w:t>Applies one of 4 resolution strategies, updates rev_recon_result, inserts rev_recon_override, creates rev_suspense_register entry, closes linked exception, writes audit CDC.</w:t>
            </w:r>
          </w:p>
        </w:tc>
      </w:tr>
      <w:tr>
        <w:tc>
          <w:tcPr>
            <w:tcW w:type="dxa" w:w="3744"/>
            <w:shd w:fill="FFFFFF"/>
            <w:tcMar>
              <w:top w:w="60" w:type="dxa"/>
              <w:bottom w:w="60" w:type="dxa"/>
              <w:left w:w="100" w:type="dxa"/>
              <w:right w:w="100" w:type="dxa"/>
            </w:tcMar>
            <w:vAlign w:val="top"/>
          </w:tcPr>
          <w:p>
            <w:pPr>
              <w:spacing w:before="30" w:after="30" w:line="252" w:lineRule="auto"/>
            </w:pPr>
            <w:r>
              <w:rPr>
                <w:rFonts w:ascii="Calibri" w:hAnsi="Calibri"/>
                <w:sz w:val="17"/>
              </w:rPr>
              <w:t>SlaService.compute_penal_interest_batch(from_date, to_date)</w:t>
            </w:r>
          </w:p>
        </w:tc>
        <w:tc>
          <w:tcPr>
            <w:tcW w:type="dxa" w:w="7344"/>
            <w:shd w:fill="FFFFFF"/>
            <w:tcMar>
              <w:top w:w="60" w:type="dxa"/>
              <w:bottom w:w="60" w:type="dxa"/>
              <w:left w:w="100" w:type="dxa"/>
              <w:right w:w="100" w:type="dxa"/>
            </w:tcMar>
            <w:vAlign w:val="top"/>
          </w:tcPr>
          <w:p>
            <w:pPr>
              <w:spacing w:before="30" w:after="30" w:line="252" w:lineRule="auto"/>
            </w:pPr>
            <w:r>
              <w:rPr>
                <w:rFonts w:ascii="Calibri" w:hAnsi="Calibri"/>
                <w:sz w:val="17"/>
              </w:rPr>
              <w:t>Evaluates remittance date vs payment date against rev_sla_rule, computes interest via (P * R * T / 365), and generates rev_penal_claim records for breaches.</w:t>
            </w:r>
          </w:p>
        </w:tc>
      </w:tr>
      <w:tr>
        <w:tc>
          <w:tcPr>
            <w:tcW w:type="dxa" w:w="3744"/>
            <w:shd w:fill="F8FAFC"/>
            <w:tcMar>
              <w:top w:w="60" w:type="dxa"/>
              <w:bottom w:w="60" w:type="dxa"/>
              <w:left w:w="100" w:type="dxa"/>
              <w:right w:w="100" w:type="dxa"/>
            </w:tcMar>
            <w:vAlign w:val="top"/>
          </w:tcPr>
          <w:p>
            <w:pPr>
              <w:spacing w:before="30" w:after="30" w:line="252" w:lineRule="auto"/>
            </w:pPr>
            <w:r>
              <w:rPr>
                <w:rFonts w:ascii="Calibri" w:hAnsi="Calibri"/>
                <w:sz w:val="17"/>
              </w:rPr>
              <w:t>DevolutionService.compute_devolution_batch(period, source)</w:t>
            </w:r>
          </w:p>
        </w:tc>
        <w:tc>
          <w:tcPr>
            <w:tcW w:type="dxa" w:w="7344"/>
            <w:shd w:fill="F8FAFC"/>
            <w:tcMar>
              <w:top w:w="60" w:type="dxa"/>
              <w:bottom w:w="60" w:type="dxa"/>
              <w:left w:w="100" w:type="dxa"/>
              <w:right w:w="100" w:type="dxa"/>
            </w:tcMar>
            <w:vAlign w:val="top"/>
          </w:tcPr>
          <w:p>
            <w:pPr>
              <w:spacing w:before="30" w:after="30" w:line="252" w:lineRule="auto"/>
            </w:pPr>
            <w:r>
              <w:rPr>
                <w:rFonts w:ascii="Calibri" w:hAnsi="Calibri"/>
                <w:sz w:val="17"/>
              </w:rPr>
              <w:t>Aggregates net revenues under stamp/transport heads, applies rev_devolution_rule percentages, and posts rev_devolution_computation allocations.</w:t>
            </w:r>
          </w:p>
        </w:tc>
      </w:tr>
      <w:tr>
        <w:tc>
          <w:tcPr>
            <w:tcW w:type="dxa" w:w="3744"/>
            <w:shd w:fill="FFFFFF"/>
            <w:tcMar>
              <w:top w:w="60" w:type="dxa"/>
              <w:bottom w:w="60" w:type="dxa"/>
              <w:left w:w="100" w:type="dxa"/>
              <w:right w:w="100" w:type="dxa"/>
            </w:tcMar>
            <w:vAlign w:val="top"/>
          </w:tcPr>
          <w:p>
            <w:pPr>
              <w:spacing w:before="30" w:after="30" w:line="252" w:lineRule="auto"/>
            </w:pPr>
            <w:r>
              <w:rPr>
                <w:rFonts w:ascii="Calibri" w:hAnsi="Calibri"/>
                <w:sz w:val="17"/>
              </w:rPr>
              <w:t>AccountingService.post_voucher_batch(recon_id_list, user_id)</w:t>
            </w:r>
          </w:p>
        </w:tc>
        <w:tc>
          <w:tcPr>
            <w:tcW w:type="dxa" w:w="7344"/>
            <w:shd w:fill="FFFFFF"/>
            <w:tcMar>
              <w:top w:w="60" w:type="dxa"/>
              <w:bottom w:w="60" w:type="dxa"/>
              <w:left w:w="100" w:type="dxa"/>
              <w:right w:w="100" w:type="dxa"/>
            </w:tcMar>
            <w:vAlign w:val="top"/>
          </w:tcPr>
          <w:p>
            <w:pPr>
              <w:spacing w:before="30" w:after="30" w:line="252" w:lineRule="auto"/>
            </w:pPr>
            <w:r>
              <w:rPr>
                <w:rFonts w:ascii="Calibri" w:hAnsi="Calibri"/>
                <w:sz w:val="17"/>
              </w:rPr>
              <w:t>Posts confirmed revenue receipts into double-entry account_voucher general ledger records.</w:t>
            </w:r>
          </w:p>
        </w:tc>
      </w:tr>
    </w:tbl>
    <w:p>
      <w:pPr>
        <w:spacing w:before="180" w:after="40"/>
      </w:pPr>
      <w:r>
        <w:rPr>
          <w:rFonts w:ascii="Calibri" w:hAnsi="Calibri"/>
          <w:b/>
          <w:color w:val="026AA2"/>
          <w:sz w:val="22"/>
        </w:rPr>
        <w:t>3.5 Triggers (10)</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772"/>
        <w:gridCol w:w="2772"/>
        <w:gridCol w:w="2772"/>
        <w:gridCol w:w="2772"/>
      </w:tblGrid>
      <w:tr>
        <w:tc>
          <w:tcPr>
            <w:tcW w:type="dxa" w:w="3168"/>
            <w:shd w:fill="0B2240"/>
            <w:tcMar>
              <w:top w:w="90" w:type="dxa"/>
              <w:bottom w:w="90" w:type="dxa"/>
              <w:left w:w="120" w:type="dxa"/>
              <w:right w:w="120" w:type="dxa"/>
            </w:tcMar>
            <w:vAlign w:val="center"/>
          </w:tcPr>
          <w:p>
            <w:pPr>
              <w:spacing w:before="40" w:after="40"/>
            </w:pPr>
            <w:r>
              <w:rPr>
                <w:rFonts w:ascii="Calibri" w:hAnsi="Calibri"/>
                <w:b/>
                <w:color w:val="FFFFFF"/>
                <w:sz w:val="18"/>
              </w:rPr>
              <w:t>Trigger</w:t>
            </w:r>
          </w:p>
        </w:tc>
        <w:tc>
          <w:tcPr>
            <w:tcW w:type="dxa" w:w="2592"/>
            <w:shd w:fill="0B2240"/>
            <w:tcMar>
              <w:top w:w="90" w:type="dxa"/>
              <w:bottom w:w="90" w:type="dxa"/>
              <w:left w:w="120" w:type="dxa"/>
              <w:right w:w="120" w:type="dxa"/>
            </w:tcMar>
            <w:vAlign w:val="center"/>
          </w:tcPr>
          <w:p>
            <w:pPr>
              <w:spacing w:before="40" w:after="40"/>
            </w:pPr>
            <w:r>
              <w:rPr>
                <w:rFonts w:ascii="Calibri" w:hAnsi="Calibri"/>
                <w:b/>
                <w:color w:val="FFFFFF"/>
                <w:sz w:val="18"/>
              </w:rPr>
              <w:t>Table</w:t>
            </w:r>
          </w:p>
        </w:tc>
        <w:tc>
          <w:tcPr>
            <w:tcW w:type="dxa" w:w="2304"/>
            <w:shd w:fill="0B2240"/>
            <w:tcMar>
              <w:top w:w="90" w:type="dxa"/>
              <w:bottom w:w="90" w:type="dxa"/>
              <w:left w:w="120" w:type="dxa"/>
              <w:right w:w="120" w:type="dxa"/>
            </w:tcMar>
            <w:vAlign w:val="center"/>
          </w:tcPr>
          <w:p>
            <w:pPr>
              <w:spacing w:before="40" w:after="40"/>
            </w:pPr>
            <w:r>
              <w:rPr>
                <w:rFonts w:ascii="Calibri" w:hAnsi="Calibri"/>
                <w:b/>
                <w:color w:val="FFFFFF"/>
                <w:sz w:val="18"/>
              </w:rPr>
              <w:t>Event</w:t>
            </w:r>
          </w:p>
        </w:tc>
        <w:tc>
          <w:tcPr>
            <w:tcW w:type="dxa" w:w="3024"/>
            <w:shd w:fill="0B2240"/>
            <w:tcMar>
              <w:top w:w="90" w:type="dxa"/>
              <w:bottom w:w="90" w:type="dxa"/>
              <w:left w:w="120" w:type="dxa"/>
              <w:right w:w="120" w:type="dxa"/>
            </w:tcMar>
            <w:vAlign w:val="center"/>
          </w:tcPr>
          <w:p>
            <w:pPr>
              <w:spacing w:before="40" w:after="40"/>
            </w:pPr>
            <w:r>
              <w:rPr>
                <w:rFonts w:ascii="Calibri" w:hAnsi="Calibri"/>
                <w:b/>
                <w:color w:val="FFFFFF"/>
                <w:sz w:val="18"/>
              </w:rPr>
              <w:t>Calls / Purpose</w:t>
            </w:r>
          </w:p>
        </w:tc>
      </w:tr>
      <w:tr>
        <w:tc>
          <w:tcPr>
            <w:tcW w:type="dxa" w:w="3168"/>
            <w:shd w:fill="FFFFFF"/>
            <w:tcMar>
              <w:top w:w="60" w:type="dxa"/>
              <w:bottom w:w="60" w:type="dxa"/>
              <w:left w:w="100" w:type="dxa"/>
              <w:right w:w="100" w:type="dxa"/>
            </w:tcMar>
            <w:vAlign w:val="top"/>
          </w:tcPr>
          <w:p>
            <w:pPr>
              <w:spacing w:before="30" w:after="30" w:line="252" w:lineRule="auto"/>
            </w:pPr>
            <w:r>
              <w:rPr>
                <w:rFonts w:ascii="Calibri" w:hAnsi="Calibri"/>
                <w:sz w:val="17"/>
              </w:rPr>
              <w:t>trg_rev_recon_result_audit</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rev_recon_result</w:t>
            </w:r>
          </w:p>
        </w:tc>
        <w:tc>
          <w:tcPr>
            <w:tcW w:type="dxa" w:w="2304"/>
            <w:shd w:fill="FFFFFF"/>
            <w:tcMar>
              <w:top w:w="60" w:type="dxa"/>
              <w:bottom w:w="60" w:type="dxa"/>
              <w:left w:w="100" w:type="dxa"/>
              <w:right w:w="100" w:type="dxa"/>
            </w:tcMar>
            <w:vAlign w:val="top"/>
          </w:tcPr>
          <w:p>
            <w:pPr>
              <w:spacing w:before="30" w:after="30" w:line="252" w:lineRule="auto"/>
            </w:pPr>
            <w:r>
              <w:rPr>
                <w:rFonts w:ascii="Calibri" w:hAnsi="Calibri"/>
                <w:sz w:val="17"/>
              </w:rPr>
              <w:t>AFTER UPDATE</w:t>
            </w:r>
          </w:p>
        </w:tc>
        <w:tc>
          <w:tcPr>
            <w:tcW w:type="dxa" w:w="3024"/>
            <w:shd w:fill="FFFFFF"/>
            <w:tcMar>
              <w:top w:w="60" w:type="dxa"/>
              <w:bottom w:w="60" w:type="dxa"/>
              <w:left w:w="100" w:type="dxa"/>
              <w:right w:w="100" w:type="dxa"/>
            </w:tcMar>
            <w:vAlign w:val="top"/>
          </w:tcPr>
          <w:p>
            <w:pPr>
              <w:spacing w:before="30" w:after="30" w:line="252" w:lineRule="auto"/>
            </w:pPr>
            <w:r>
              <w:rPr>
                <w:rFonts w:ascii="Calibri" w:hAnsi="Calibri"/>
                <w:sz w:val="17"/>
              </w:rPr>
              <w:t>rev_fn_audit_change_capture()</w:t>
            </w:r>
          </w:p>
        </w:tc>
      </w:tr>
      <w:tr>
        <w:tc>
          <w:tcPr>
            <w:tcW w:type="dxa" w:w="3168"/>
            <w:shd w:fill="F8FAFC"/>
            <w:tcMar>
              <w:top w:w="60" w:type="dxa"/>
              <w:bottom w:w="60" w:type="dxa"/>
              <w:left w:w="100" w:type="dxa"/>
              <w:right w:w="100" w:type="dxa"/>
            </w:tcMar>
            <w:vAlign w:val="top"/>
          </w:tcPr>
          <w:p>
            <w:pPr>
              <w:spacing w:before="30" w:after="30" w:line="252" w:lineRule="auto"/>
            </w:pPr>
            <w:r>
              <w:rPr>
                <w:rFonts w:ascii="Calibri" w:hAnsi="Calibri"/>
                <w:sz w:val="17"/>
              </w:rPr>
              <w:t>trg_rev_recon_override_audit</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rev_recon_override</w:t>
            </w:r>
          </w:p>
        </w:tc>
        <w:tc>
          <w:tcPr>
            <w:tcW w:type="dxa" w:w="2304"/>
            <w:shd w:fill="F8FAFC"/>
            <w:tcMar>
              <w:top w:w="60" w:type="dxa"/>
              <w:bottom w:w="60" w:type="dxa"/>
              <w:left w:w="100" w:type="dxa"/>
              <w:right w:w="100" w:type="dxa"/>
            </w:tcMar>
            <w:vAlign w:val="top"/>
          </w:tcPr>
          <w:p>
            <w:pPr>
              <w:spacing w:before="30" w:after="30" w:line="252" w:lineRule="auto"/>
            </w:pPr>
            <w:r>
              <w:rPr>
                <w:rFonts w:ascii="Calibri" w:hAnsi="Calibri"/>
                <w:sz w:val="17"/>
              </w:rPr>
              <w:t>AFTER INSERT</w:t>
            </w:r>
          </w:p>
        </w:tc>
        <w:tc>
          <w:tcPr>
            <w:tcW w:type="dxa" w:w="3024"/>
            <w:shd w:fill="F8FAFC"/>
            <w:tcMar>
              <w:top w:w="60" w:type="dxa"/>
              <w:bottom w:w="60" w:type="dxa"/>
              <w:left w:w="100" w:type="dxa"/>
              <w:right w:w="100" w:type="dxa"/>
            </w:tcMar>
            <w:vAlign w:val="top"/>
          </w:tcPr>
          <w:p>
            <w:pPr>
              <w:spacing w:before="30" w:after="30" w:line="252" w:lineRule="auto"/>
            </w:pPr>
            <w:r>
              <w:rPr>
                <w:rFonts w:ascii="Calibri" w:hAnsi="Calibri"/>
                <w:sz w:val="17"/>
              </w:rPr>
              <w:t>rev_fn_audit_change_capture()</w:t>
            </w:r>
          </w:p>
        </w:tc>
      </w:tr>
      <w:tr>
        <w:tc>
          <w:tcPr>
            <w:tcW w:type="dxa" w:w="3168"/>
            <w:shd w:fill="FFFFFF"/>
            <w:tcMar>
              <w:top w:w="60" w:type="dxa"/>
              <w:bottom w:w="60" w:type="dxa"/>
              <w:left w:w="100" w:type="dxa"/>
              <w:right w:w="100" w:type="dxa"/>
            </w:tcMar>
            <w:vAlign w:val="top"/>
          </w:tcPr>
          <w:p>
            <w:pPr>
              <w:spacing w:before="30" w:after="30" w:line="252" w:lineRule="auto"/>
            </w:pPr>
            <w:r>
              <w:rPr>
                <w:rFonts w:ascii="Calibri" w:hAnsi="Calibri"/>
                <w:sz w:val="17"/>
              </w:rPr>
              <w:t>trg_rev_exception_audit</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rev_exception</w:t>
            </w:r>
          </w:p>
        </w:tc>
        <w:tc>
          <w:tcPr>
            <w:tcW w:type="dxa" w:w="2304"/>
            <w:shd w:fill="FFFFFF"/>
            <w:tcMar>
              <w:top w:w="60" w:type="dxa"/>
              <w:bottom w:w="60" w:type="dxa"/>
              <w:left w:w="100" w:type="dxa"/>
              <w:right w:w="100" w:type="dxa"/>
            </w:tcMar>
            <w:vAlign w:val="top"/>
          </w:tcPr>
          <w:p>
            <w:pPr>
              <w:spacing w:before="30" w:after="30" w:line="252" w:lineRule="auto"/>
            </w:pPr>
            <w:r>
              <w:rPr>
                <w:rFonts w:ascii="Calibri" w:hAnsi="Calibri"/>
                <w:sz w:val="17"/>
              </w:rPr>
              <w:t>AFTER UPDATE</w:t>
            </w:r>
          </w:p>
        </w:tc>
        <w:tc>
          <w:tcPr>
            <w:tcW w:type="dxa" w:w="3024"/>
            <w:shd w:fill="FFFFFF"/>
            <w:tcMar>
              <w:top w:w="60" w:type="dxa"/>
              <w:bottom w:w="60" w:type="dxa"/>
              <w:left w:w="100" w:type="dxa"/>
              <w:right w:w="100" w:type="dxa"/>
            </w:tcMar>
            <w:vAlign w:val="top"/>
          </w:tcPr>
          <w:p>
            <w:pPr>
              <w:spacing w:before="30" w:after="30" w:line="252" w:lineRule="auto"/>
            </w:pPr>
            <w:r>
              <w:rPr>
                <w:rFonts w:ascii="Calibri" w:hAnsi="Calibri"/>
                <w:sz w:val="17"/>
              </w:rPr>
              <w:t>rev_fn_audit_change_capture()</w:t>
            </w:r>
          </w:p>
        </w:tc>
      </w:tr>
      <w:tr>
        <w:tc>
          <w:tcPr>
            <w:tcW w:type="dxa" w:w="3168"/>
            <w:shd w:fill="F8FAFC"/>
            <w:tcMar>
              <w:top w:w="60" w:type="dxa"/>
              <w:bottom w:w="60" w:type="dxa"/>
              <w:left w:w="100" w:type="dxa"/>
              <w:right w:w="100" w:type="dxa"/>
            </w:tcMar>
            <w:vAlign w:val="top"/>
          </w:tcPr>
          <w:p>
            <w:pPr>
              <w:spacing w:before="30" w:after="30" w:line="252" w:lineRule="auto"/>
            </w:pPr>
            <w:r>
              <w:rPr>
                <w:rFonts w:ascii="Calibri" w:hAnsi="Calibri"/>
                <w:sz w:val="17"/>
              </w:rPr>
              <w:t>trg_rev_refund_case_audit</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rev_refund_case</w:t>
            </w:r>
          </w:p>
        </w:tc>
        <w:tc>
          <w:tcPr>
            <w:tcW w:type="dxa" w:w="2304"/>
            <w:shd w:fill="F8FAFC"/>
            <w:tcMar>
              <w:top w:w="60" w:type="dxa"/>
              <w:bottom w:w="60" w:type="dxa"/>
              <w:left w:w="100" w:type="dxa"/>
              <w:right w:w="100" w:type="dxa"/>
            </w:tcMar>
            <w:vAlign w:val="top"/>
          </w:tcPr>
          <w:p>
            <w:pPr>
              <w:spacing w:before="30" w:after="30" w:line="252" w:lineRule="auto"/>
            </w:pPr>
            <w:r>
              <w:rPr>
                <w:rFonts w:ascii="Calibri" w:hAnsi="Calibri"/>
                <w:sz w:val="17"/>
              </w:rPr>
              <w:t>AFTER UPDATE</w:t>
            </w:r>
          </w:p>
        </w:tc>
        <w:tc>
          <w:tcPr>
            <w:tcW w:type="dxa" w:w="3024"/>
            <w:shd w:fill="F8FAFC"/>
            <w:tcMar>
              <w:top w:w="60" w:type="dxa"/>
              <w:bottom w:w="60" w:type="dxa"/>
              <w:left w:w="100" w:type="dxa"/>
              <w:right w:w="100" w:type="dxa"/>
            </w:tcMar>
            <w:vAlign w:val="top"/>
          </w:tcPr>
          <w:p>
            <w:pPr>
              <w:spacing w:before="30" w:after="30" w:line="252" w:lineRule="auto"/>
            </w:pPr>
            <w:r>
              <w:rPr>
                <w:rFonts w:ascii="Calibri" w:hAnsi="Calibri"/>
                <w:sz w:val="17"/>
              </w:rPr>
              <w:t>rev_fn_audit_change_capture()</w:t>
            </w:r>
          </w:p>
        </w:tc>
      </w:tr>
      <w:tr>
        <w:tc>
          <w:tcPr>
            <w:tcW w:type="dxa" w:w="3168"/>
            <w:shd w:fill="FFFFFF"/>
            <w:tcMar>
              <w:top w:w="60" w:type="dxa"/>
              <w:bottom w:w="60" w:type="dxa"/>
              <w:left w:w="100" w:type="dxa"/>
              <w:right w:w="100" w:type="dxa"/>
            </w:tcMar>
            <w:vAlign w:val="top"/>
          </w:tcPr>
          <w:p>
            <w:pPr>
              <w:spacing w:before="30" w:after="30" w:line="252" w:lineRule="auto"/>
            </w:pPr>
            <w:r>
              <w:rPr>
                <w:rFonts w:ascii="Calibri" w:hAnsi="Calibri"/>
                <w:sz w:val="17"/>
              </w:rPr>
              <w:t>trg_rev_penal_claim_audit</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rev_penal_claim</w:t>
            </w:r>
          </w:p>
        </w:tc>
        <w:tc>
          <w:tcPr>
            <w:tcW w:type="dxa" w:w="2304"/>
            <w:shd w:fill="FFFFFF"/>
            <w:tcMar>
              <w:top w:w="60" w:type="dxa"/>
              <w:bottom w:w="60" w:type="dxa"/>
              <w:left w:w="100" w:type="dxa"/>
              <w:right w:w="100" w:type="dxa"/>
            </w:tcMar>
            <w:vAlign w:val="top"/>
          </w:tcPr>
          <w:p>
            <w:pPr>
              <w:spacing w:before="30" w:after="30" w:line="252" w:lineRule="auto"/>
            </w:pPr>
            <w:r>
              <w:rPr>
                <w:rFonts w:ascii="Calibri" w:hAnsi="Calibri"/>
                <w:sz w:val="17"/>
              </w:rPr>
              <w:t>AFTER UPDATE</w:t>
            </w:r>
          </w:p>
        </w:tc>
        <w:tc>
          <w:tcPr>
            <w:tcW w:type="dxa" w:w="3024"/>
            <w:shd w:fill="FFFFFF"/>
            <w:tcMar>
              <w:top w:w="60" w:type="dxa"/>
              <w:bottom w:w="60" w:type="dxa"/>
              <w:left w:w="100" w:type="dxa"/>
              <w:right w:w="100" w:type="dxa"/>
            </w:tcMar>
            <w:vAlign w:val="top"/>
          </w:tcPr>
          <w:p>
            <w:pPr>
              <w:spacing w:before="30" w:after="30" w:line="252" w:lineRule="auto"/>
            </w:pPr>
            <w:r>
              <w:rPr>
                <w:rFonts w:ascii="Calibri" w:hAnsi="Calibri"/>
                <w:sz w:val="17"/>
              </w:rPr>
              <w:t>rev_fn_audit_change_capture()</w:t>
            </w:r>
          </w:p>
        </w:tc>
      </w:tr>
      <w:tr>
        <w:tc>
          <w:tcPr>
            <w:tcW w:type="dxa" w:w="3168"/>
            <w:shd w:fill="F8FAFC"/>
            <w:tcMar>
              <w:top w:w="60" w:type="dxa"/>
              <w:bottom w:w="60" w:type="dxa"/>
              <w:left w:w="100" w:type="dxa"/>
              <w:right w:w="100" w:type="dxa"/>
            </w:tcMar>
            <w:vAlign w:val="top"/>
          </w:tcPr>
          <w:p>
            <w:pPr>
              <w:spacing w:before="30" w:after="30" w:line="252" w:lineRule="auto"/>
            </w:pPr>
            <w:r>
              <w:rPr>
                <w:rFonts w:ascii="Calibri" w:hAnsi="Calibri"/>
                <w:sz w:val="17"/>
              </w:rPr>
              <w:t>trg_rev_devolution_advice_audit</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rev_devolution_advice</w:t>
            </w:r>
          </w:p>
        </w:tc>
        <w:tc>
          <w:tcPr>
            <w:tcW w:type="dxa" w:w="2304"/>
            <w:shd w:fill="F8FAFC"/>
            <w:tcMar>
              <w:top w:w="60" w:type="dxa"/>
              <w:bottom w:w="60" w:type="dxa"/>
              <w:left w:w="100" w:type="dxa"/>
              <w:right w:w="100" w:type="dxa"/>
            </w:tcMar>
            <w:vAlign w:val="top"/>
          </w:tcPr>
          <w:p>
            <w:pPr>
              <w:spacing w:before="30" w:after="30" w:line="252" w:lineRule="auto"/>
            </w:pPr>
            <w:r>
              <w:rPr>
                <w:rFonts w:ascii="Calibri" w:hAnsi="Calibri"/>
                <w:sz w:val="17"/>
              </w:rPr>
              <w:t>AFTER UPDATE</w:t>
            </w:r>
          </w:p>
        </w:tc>
        <w:tc>
          <w:tcPr>
            <w:tcW w:type="dxa" w:w="3024"/>
            <w:shd w:fill="F8FAFC"/>
            <w:tcMar>
              <w:top w:w="60" w:type="dxa"/>
              <w:bottom w:w="60" w:type="dxa"/>
              <w:left w:w="100" w:type="dxa"/>
              <w:right w:w="100" w:type="dxa"/>
            </w:tcMar>
            <w:vAlign w:val="top"/>
          </w:tcPr>
          <w:p>
            <w:pPr>
              <w:spacing w:before="30" w:after="30" w:line="252" w:lineRule="auto"/>
            </w:pPr>
            <w:r>
              <w:rPr>
                <w:rFonts w:ascii="Calibri" w:hAnsi="Calibri"/>
                <w:sz w:val="17"/>
              </w:rPr>
              <w:t>rev_fn_audit_change_capture()</w:t>
            </w:r>
          </w:p>
        </w:tc>
      </w:tr>
      <w:tr>
        <w:tc>
          <w:tcPr>
            <w:tcW w:type="dxa" w:w="3168"/>
            <w:shd w:fill="FFFFFF"/>
            <w:tcMar>
              <w:top w:w="60" w:type="dxa"/>
              <w:bottom w:w="60" w:type="dxa"/>
              <w:left w:w="100" w:type="dxa"/>
              <w:right w:w="100" w:type="dxa"/>
            </w:tcMar>
            <w:vAlign w:val="top"/>
          </w:tcPr>
          <w:p>
            <w:pPr>
              <w:spacing w:before="30" w:after="30" w:line="252" w:lineRule="auto"/>
            </w:pPr>
            <w:r>
              <w:rPr>
                <w:rFonts w:ascii="Calibri" w:hAnsi="Calibri"/>
                <w:sz w:val="17"/>
              </w:rPr>
              <w:t>trg_rev_portal_staging_seq</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rev_portal_transaction_staging</w:t>
            </w:r>
          </w:p>
        </w:tc>
        <w:tc>
          <w:tcPr>
            <w:tcW w:type="dxa" w:w="2304"/>
            <w:shd w:fill="FFFFFF"/>
            <w:tcMar>
              <w:top w:w="60" w:type="dxa"/>
              <w:bottom w:w="60" w:type="dxa"/>
              <w:left w:w="100" w:type="dxa"/>
              <w:right w:w="100" w:type="dxa"/>
            </w:tcMar>
            <w:vAlign w:val="top"/>
          </w:tcPr>
          <w:p>
            <w:pPr>
              <w:spacing w:before="30" w:after="30" w:line="252" w:lineRule="auto"/>
            </w:pPr>
            <w:r>
              <w:rPr>
                <w:rFonts w:ascii="Calibri" w:hAnsi="Calibri"/>
                <w:sz w:val="17"/>
              </w:rPr>
              <w:t>BEFORE INSERT</w:t>
            </w:r>
          </w:p>
        </w:tc>
        <w:tc>
          <w:tcPr>
            <w:tcW w:type="dxa" w:w="3024"/>
            <w:shd w:fill="FFFFFF"/>
            <w:tcMar>
              <w:top w:w="60" w:type="dxa"/>
              <w:bottom w:w="60" w:type="dxa"/>
              <w:left w:w="100" w:type="dxa"/>
              <w:right w:w="100" w:type="dxa"/>
            </w:tcMar>
            <w:vAlign w:val="top"/>
          </w:tcPr>
          <w:p>
            <w:pPr>
              <w:spacing w:before="30" w:after="30" w:line="252" w:lineRule="auto"/>
            </w:pPr>
            <w:r>
              <w:rPr>
                <w:rFonts w:ascii="Calibri" w:hAnsi="Calibri"/>
                <w:sz w:val="17"/>
              </w:rPr>
              <w:t>Assigns REV-TXN-YYYYMMDD-XXXXXX</w:t>
            </w:r>
          </w:p>
        </w:tc>
      </w:tr>
      <w:tr>
        <w:tc>
          <w:tcPr>
            <w:tcW w:type="dxa" w:w="3168"/>
            <w:shd w:fill="F8FAFC"/>
            <w:tcMar>
              <w:top w:w="60" w:type="dxa"/>
              <w:bottom w:w="60" w:type="dxa"/>
              <w:left w:w="100" w:type="dxa"/>
              <w:right w:w="100" w:type="dxa"/>
            </w:tcMar>
            <w:vAlign w:val="top"/>
          </w:tcPr>
          <w:p>
            <w:pPr>
              <w:spacing w:before="30" w:after="30" w:line="252" w:lineRule="auto"/>
            </w:pPr>
            <w:r>
              <w:rPr>
                <w:rFonts w:ascii="Calibri" w:hAnsi="Calibri"/>
                <w:sz w:val="17"/>
              </w:rPr>
              <w:t>trg_rev_recon_seq</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rev_recon_result</w:t>
            </w:r>
          </w:p>
        </w:tc>
        <w:tc>
          <w:tcPr>
            <w:tcW w:type="dxa" w:w="2304"/>
            <w:shd w:fill="F8FAFC"/>
            <w:tcMar>
              <w:top w:w="60" w:type="dxa"/>
              <w:bottom w:w="60" w:type="dxa"/>
              <w:left w:w="100" w:type="dxa"/>
              <w:right w:w="100" w:type="dxa"/>
            </w:tcMar>
            <w:vAlign w:val="top"/>
          </w:tcPr>
          <w:p>
            <w:pPr>
              <w:spacing w:before="30" w:after="30" w:line="252" w:lineRule="auto"/>
            </w:pPr>
            <w:r>
              <w:rPr>
                <w:rFonts w:ascii="Calibri" w:hAnsi="Calibri"/>
                <w:sz w:val="17"/>
              </w:rPr>
              <w:t>BEFORE INSERT</w:t>
            </w:r>
          </w:p>
        </w:tc>
        <w:tc>
          <w:tcPr>
            <w:tcW w:type="dxa" w:w="3024"/>
            <w:shd w:fill="F8FAFC"/>
            <w:tcMar>
              <w:top w:w="60" w:type="dxa"/>
              <w:bottom w:w="60" w:type="dxa"/>
              <w:left w:w="100" w:type="dxa"/>
              <w:right w:w="100" w:type="dxa"/>
            </w:tcMar>
            <w:vAlign w:val="top"/>
          </w:tcPr>
          <w:p>
            <w:pPr>
              <w:spacing w:before="30" w:after="30" w:line="252" w:lineRule="auto"/>
            </w:pPr>
            <w:r>
              <w:rPr>
                <w:rFonts w:ascii="Calibri" w:hAnsi="Calibri"/>
                <w:sz w:val="17"/>
              </w:rPr>
              <w:t>Assigns REC-YYYYMMDD-XXXXXX</w:t>
            </w:r>
          </w:p>
        </w:tc>
      </w:tr>
      <w:tr>
        <w:tc>
          <w:tcPr>
            <w:tcW w:type="dxa" w:w="3168"/>
            <w:shd w:fill="FFFFFF"/>
            <w:tcMar>
              <w:top w:w="60" w:type="dxa"/>
              <w:bottom w:w="60" w:type="dxa"/>
              <w:left w:w="100" w:type="dxa"/>
              <w:right w:w="100" w:type="dxa"/>
            </w:tcMar>
            <w:vAlign w:val="top"/>
          </w:tcPr>
          <w:p>
            <w:pPr>
              <w:spacing w:before="30" w:after="30" w:line="252" w:lineRule="auto"/>
            </w:pPr>
            <w:r>
              <w:rPr>
                <w:rFonts w:ascii="Calibri" w:hAnsi="Calibri"/>
                <w:sz w:val="17"/>
              </w:rPr>
              <w:t>trg_rev_exception_seq</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rev_exception</w:t>
            </w:r>
          </w:p>
        </w:tc>
        <w:tc>
          <w:tcPr>
            <w:tcW w:type="dxa" w:w="2304"/>
            <w:shd w:fill="FFFFFF"/>
            <w:tcMar>
              <w:top w:w="60" w:type="dxa"/>
              <w:bottom w:w="60" w:type="dxa"/>
              <w:left w:w="100" w:type="dxa"/>
              <w:right w:w="100" w:type="dxa"/>
            </w:tcMar>
            <w:vAlign w:val="top"/>
          </w:tcPr>
          <w:p>
            <w:pPr>
              <w:spacing w:before="30" w:after="30" w:line="252" w:lineRule="auto"/>
            </w:pPr>
            <w:r>
              <w:rPr>
                <w:rFonts w:ascii="Calibri" w:hAnsi="Calibri"/>
                <w:sz w:val="17"/>
              </w:rPr>
              <w:t>BEFORE INSERT</w:t>
            </w:r>
          </w:p>
        </w:tc>
        <w:tc>
          <w:tcPr>
            <w:tcW w:type="dxa" w:w="3024"/>
            <w:shd w:fill="FFFFFF"/>
            <w:tcMar>
              <w:top w:w="60" w:type="dxa"/>
              <w:bottom w:w="60" w:type="dxa"/>
              <w:left w:w="100" w:type="dxa"/>
              <w:right w:w="100" w:type="dxa"/>
            </w:tcMar>
            <w:vAlign w:val="top"/>
          </w:tcPr>
          <w:p>
            <w:pPr>
              <w:spacing w:before="30" w:after="30" w:line="252" w:lineRule="auto"/>
            </w:pPr>
            <w:r>
              <w:rPr>
                <w:rFonts w:ascii="Calibri" w:hAnsi="Calibri"/>
                <w:sz w:val="17"/>
              </w:rPr>
              <w:t>Assigns EXC-YYYYMMDD-XXXXXX</w:t>
            </w:r>
          </w:p>
        </w:tc>
      </w:tr>
      <w:tr>
        <w:tc>
          <w:tcPr>
            <w:tcW w:type="dxa" w:w="3168"/>
            <w:shd w:fill="F8FAFC"/>
            <w:tcMar>
              <w:top w:w="60" w:type="dxa"/>
              <w:bottom w:w="60" w:type="dxa"/>
              <w:left w:w="100" w:type="dxa"/>
              <w:right w:w="100" w:type="dxa"/>
            </w:tcMar>
            <w:vAlign w:val="top"/>
          </w:tcPr>
          <w:p>
            <w:pPr>
              <w:spacing w:before="30" w:after="30" w:line="252" w:lineRule="auto"/>
            </w:pPr>
            <w:r>
              <w:rPr>
                <w:rFonts w:ascii="Calibri" w:hAnsi="Calibri"/>
                <w:sz w:val="17"/>
              </w:rPr>
              <w:t>trg_rev_notification_push</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rev_system_notifications</w:t>
            </w:r>
          </w:p>
        </w:tc>
        <w:tc>
          <w:tcPr>
            <w:tcW w:type="dxa" w:w="2304"/>
            <w:shd w:fill="F8FAFC"/>
            <w:tcMar>
              <w:top w:w="60" w:type="dxa"/>
              <w:bottom w:w="60" w:type="dxa"/>
              <w:left w:w="100" w:type="dxa"/>
              <w:right w:w="100" w:type="dxa"/>
            </w:tcMar>
            <w:vAlign w:val="top"/>
          </w:tcPr>
          <w:p>
            <w:pPr>
              <w:spacing w:before="30" w:after="30" w:line="252" w:lineRule="auto"/>
            </w:pPr>
            <w:r>
              <w:rPr>
                <w:rFonts w:ascii="Calibri" w:hAnsi="Calibri"/>
                <w:sz w:val="17"/>
              </w:rPr>
              <w:t>AFTER INSERT</w:t>
            </w:r>
          </w:p>
        </w:tc>
        <w:tc>
          <w:tcPr>
            <w:tcW w:type="dxa" w:w="3024"/>
            <w:shd w:fill="F8FAFC"/>
            <w:tcMar>
              <w:top w:w="60" w:type="dxa"/>
              <w:bottom w:w="60" w:type="dxa"/>
              <w:left w:w="100" w:type="dxa"/>
              <w:right w:w="100" w:type="dxa"/>
            </w:tcMar>
            <w:vAlign w:val="top"/>
          </w:tcPr>
          <w:p>
            <w:pPr>
              <w:spacing w:before="30" w:after="30" w:line="252" w:lineRule="auto"/>
            </w:pPr>
            <w:r>
              <w:rPr>
                <w:rFonts w:ascii="Calibri" w:hAnsi="Calibri"/>
                <w:sz w:val="17"/>
              </w:rPr>
              <w:t>WebSocket event dispatcher</w:t>
            </w:r>
          </w:p>
        </w:tc>
      </w:tr>
    </w:tbl>
    <w:p>
      <w:pPr>
        <w:spacing w:before="180" w:after="40"/>
      </w:pPr>
      <w:r>
        <w:rPr>
          <w:rFonts w:ascii="Calibri" w:hAnsi="Calibri"/>
          <w:b/>
          <w:color w:val="026AA2"/>
          <w:sz w:val="22"/>
        </w:rPr>
        <w:t>3.6 Enum Types &amp; Domain Statuses (7)</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544"/>
        <w:gridCol w:w="5544"/>
      </w:tblGrid>
      <w:tr>
        <w:tc>
          <w:tcPr>
            <w:tcW w:type="dxa" w:w="3744"/>
            <w:shd w:fill="0B2240"/>
            <w:tcMar>
              <w:top w:w="90" w:type="dxa"/>
              <w:bottom w:w="90" w:type="dxa"/>
              <w:left w:w="120" w:type="dxa"/>
              <w:right w:w="120" w:type="dxa"/>
            </w:tcMar>
            <w:vAlign w:val="center"/>
          </w:tcPr>
          <w:p>
            <w:pPr>
              <w:spacing w:before="40" w:after="40"/>
            </w:pPr>
            <w:r>
              <w:rPr>
                <w:rFonts w:ascii="Calibri" w:hAnsi="Calibri"/>
                <w:b/>
                <w:color w:val="FFFFFF"/>
                <w:sz w:val="18"/>
              </w:rPr>
              <w:t>Enum Type</w:t>
            </w:r>
          </w:p>
        </w:tc>
        <w:tc>
          <w:tcPr>
            <w:tcW w:type="dxa" w:w="7344"/>
            <w:shd w:fill="0B2240"/>
            <w:tcMar>
              <w:top w:w="90" w:type="dxa"/>
              <w:bottom w:w="90" w:type="dxa"/>
              <w:left w:w="120" w:type="dxa"/>
              <w:right w:w="120" w:type="dxa"/>
            </w:tcMar>
            <w:vAlign w:val="center"/>
          </w:tcPr>
          <w:p>
            <w:pPr>
              <w:spacing w:before="40" w:after="40"/>
            </w:pPr>
            <w:r>
              <w:rPr>
                <w:rFonts w:ascii="Calibri" w:hAnsi="Calibri"/>
                <w:b/>
                <w:color w:val="FFFFFF"/>
                <w:sz w:val="18"/>
              </w:rPr>
              <w:t>Values &amp; Domain Definition</w:t>
            </w:r>
          </w:p>
        </w:tc>
      </w:tr>
      <w:tr>
        <w:tc>
          <w:tcPr>
            <w:tcW w:type="dxa" w:w="3744"/>
            <w:shd w:fill="FFFFFF"/>
            <w:tcMar>
              <w:top w:w="60" w:type="dxa"/>
              <w:bottom w:w="60" w:type="dxa"/>
              <w:left w:w="100" w:type="dxa"/>
              <w:right w:w="100" w:type="dxa"/>
            </w:tcMar>
            <w:vAlign w:val="top"/>
          </w:tcPr>
          <w:p>
            <w:pPr>
              <w:spacing w:before="30" w:after="30" w:line="252" w:lineRule="auto"/>
            </w:pPr>
            <w:r>
              <w:rPr>
                <w:rFonts w:ascii="Calibri" w:hAnsi="Calibri"/>
                <w:sz w:val="17"/>
              </w:rPr>
              <w:t>rev_match_status</w:t>
            </w:r>
          </w:p>
        </w:tc>
        <w:tc>
          <w:tcPr>
            <w:tcW w:type="dxa" w:w="7344"/>
            <w:shd w:fill="FFFFFF"/>
            <w:tcMar>
              <w:top w:w="60" w:type="dxa"/>
              <w:bottom w:w="60" w:type="dxa"/>
              <w:left w:w="100" w:type="dxa"/>
              <w:right w:w="100" w:type="dxa"/>
            </w:tcMar>
            <w:vAlign w:val="top"/>
          </w:tcPr>
          <w:p>
            <w:pPr>
              <w:spacing w:before="30" w:after="30" w:line="252" w:lineRule="auto"/>
            </w:pPr>
            <w:r>
              <w:rPr>
                <w:rFonts w:ascii="Calibri" w:hAnsi="Calibri"/>
                <w:sz w:val="17"/>
              </w:rPr>
              <w:t>'Matched', 'Pending', 'Suspend', 'RAT', 'Mismatch', 'Duplicate'</w:t>
            </w:r>
          </w:p>
        </w:tc>
      </w:tr>
      <w:tr>
        <w:tc>
          <w:tcPr>
            <w:tcW w:type="dxa" w:w="3744"/>
            <w:shd w:fill="F8FAFC"/>
            <w:tcMar>
              <w:top w:w="60" w:type="dxa"/>
              <w:bottom w:w="60" w:type="dxa"/>
              <w:left w:w="100" w:type="dxa"/>
              <w:right w:w="100" w:type="dxa"/>
            </w:tcMar>
            <w:vAlign w:val="top"/>
          </w:tcPr>
          <w:p>
            <w:pPr>
              <w:spacing w:before="30" w:after="30" w:line="252" w:lineRule="auto"/>
            </w:pPr>
            <w:r>
              <w:rPr>
                <w:rFonts w:ascii="Calibri" w:hAnsi="Calibri"/>
                <w:sz w:val="17"/>
              </w:rPr>
              <w:t>rev_resolution_type</w:t>
            </w:r>
          </w:p>
        </w:tc>
        <w:tc>
          <w:tcPr>
            <w:tcW w:type="dxa" w:w="7344"/>
            <w:shd w:fill="F8FAFC"/>
            <w:tcMar>
              <w:top w:w="60" w:type="dxa"/>
              <w:bottom w:w="60" w:type="dxa"/>
              <w:left w:w="100" w:type="dxa"/>
              <w:right w:w="100" w:type="dxa"/>
            </w:tcMar>
            <w:vAlign w:val="top"/>
          </w:tcPr>
          <w:p>
            <w:pPr>
              <w:spacing w:before="30" w:after="30" w:line="252" w:lineRule="auto"/>
            </w:pPr>
            <w:r>
              <w:rPr>
                <w:rFonts w:ascii="Calibri" w:hAnsi="Calibri"/>
                <w:sz w:val="17"/>
              </w:rPr>
              <w:t>'MANUAL_MATCH', 'POST_TO_SUSPENSE', 'ADMIN_CLEAR', 'ISSUE_NOTICE'</w:t>
            </w:r>
          </w:p>
        </w:tc>
      </w:tr>
      <w:tr>
        <w:tc>
          <w:tcPr>
            <w:tcW w:type="dxa" w:w="3744"/>
            <w:shd w:fill="FFFFFF"/>
            <w:tcMar>
              <w:top w:w="60" w:type="dxa"/>
              <w:bottom w:w="60" w:type="dxa"/>
              <w:left w:w="100" w:type="dxa"/>
              <w:right w:w="100" w:type="dxa"/>
            </w:tcMar>
            <w:vAlign w:val="top"/>
          </w:tcPr>
          <w:p>
            <w:pPr>
              <w:spacing w:before="30" w:after="30" w:line="252" w:lineRule="auto"/>
            </w:pPr>
            <w:r>
              <w:rPr>
                <w:rFonts w:ascii="Calibri" w:hAnsi="Calibri"/>
                <w:sz w:val="17"/>
              </w:rPr>
              <w:t>rev_exception_severity</w:t>
            </w:r>
          </w:p>
        </w:tc>
        <w:tc>
          <w:tcPr>
            <w:tcW w:type="dxa" w:w="7344"/>
            <w:shd w:fill="FFFFFF"/>
            <w:tcMar>
              <w:top w:w="60" w:type="dxa"/>
              <w:bottom w:w="60" w:type="dxa"/>
              <w:left w:w="100" w:type="dxa"/>
              <w:right w:w="100" w:type="dxa"/>
            </w:tcMar>
            <w:vAlign w:val="top"/>
          </w:tcPr>
          <w:p>
            <w:pPr>
              <w:spacing w:before="30" w:after="30" w:line="252" w:lineRule="auto"/>
            </w:pPr>
            <w:r>
              <w:rPr>
                <w:rFonts w:ascii="Calibri" w:hAnsi="Calibri"/>
                <w:sz w:val="17"/>
              </w:rPr>
              <w:t>'Critical', 'High', 'Medium', 'Low'</w:t>
            </w:r>
          </w:p>
        </w:tc>
      </w:tr>
      <w:tr>
        <w:tc>
          <w:tcPr>
            <w:tcW w:type="dxa" w:w="3744"/>
            <w:shd w:fill="F8FAFC"/>
            <w:tcMar>
              <w:top w:w="60" w:type="dxa"/>
              <w:bottom w:w="60" w:type="dxa"/>
              <w:left w:w="100" w:type="dxa"/>
              <w:right w:w="100" w:type="dxa"/>
            </w:tcMar>
            <w:vAlign w:val="top"/>
          </w:tcPr>
          <w:p>
            <w:pPr>
              <w:spacing w:before="30" w:after="30" w:line="252" w:lineRule="auto"/>
            </w:pPr>
            <w:r>
              <w:rPr>
                <w:rFonts w:ascii="Calibri" w:hAnsi="Calibri"/>
                <w:sz w:val="17"/>
              </w:rPr>
              <w:t>rev_exception_status</w:t>
            </w:r>
          </w:p>
        </w:tc>
        <w:tc>
          <w:tcPr>
            <w:tcW w:type="dxa" w:w="7344"/>
            <w:shd w:fill="F8FAFC"/>
            <w:tcMar>
              <w:top w:w="60" w:type="dxa"/>
              <w:bottom w:w="60" w:type="dxa"/>
              <w:left w:w="100" w:type="dxa"/>
              <w:right w:w="100" w:type="dxa"/>
            </w:tcMar>
            <w:vAlign w:val="top"/>
          </w:tcPr>
          <w:p>
            <w:pPr>
              <w:spacing w:before="30" w:after="30" w:line="252" w:lineRule="auto"/>
            </w:pPr>
            <w:r>
              <w:rPr>
                <w:rFonts w:ascii="Calibri" w:hAnsi="Calibri"/>
                <w:sz w:val="17"/>
              </w:rPr>
              <w:t>'Open', 'Assigned', 'Escalated', 'Resolved', 'Closed'</w:t>
            </w:r>
          </w:p>
        </w:tc>
      </w:tr>
      <w:tr>
        <w:tc>
          <w:tcPr>
            <w:tcW w:type="dxa" w:w="3744"/>
            <w:shd w:fill="FFFFFF"/>
            <w:tcMar>
              <w:top w:w="60" w:type="dxa"/>
              <w:bottom w:w="60" w:type="dxa"/>
              <w:left w:w="100" w:type="dxa"/>
              <w:right w:w="100" w:type="dxa"/>
            </w:tcMar>
            <w:vAlign w:val="top"/>
          </w:tcPr>
          <w:p>
            <w:pPr>
              <w:spacing w:before="30" w:after="30" w:line="252" w:lineRule="auto"/>
            </w:pPr>
            <w:r>
              <w:rPr>
                <w:rFonts w:ascii="Calibri" w:hAnsi="Calibri"/>
                <w:sz w:val="17"/>
              </w:rPr>
              <w:t>rev_refund_stage</w:t>
            </w:r>
          </w:p>
        </w:tc>
        <w:tc>
          <w:tcPr>
            <w:tcW w:type="dxa" w:w="7344"/>
            <w:shd w:fill="FFFFFF"/>
            <w:tcMar>
              <w:top w:w="60" w:type="dxa"/>
              <w:bottom w:w="60" w:type="dxa"/>
              <w:left w:w="100" w:type="dxa"/>
              <w:right w:w="100" w:type="dxa"/>
            </w:tcMar>
            <w:vAlign w:val="top"/>
          </w:tcPr>
          <w:p>
            <w:pPr>
              <w:spacing w:before="30" w:after="30" w:line="252" w:lineRule="auto"/>
            </w:pPr>
            <w:r>
              <w:rPr>
                <w:rFonts w:ascii="Calibri" w:hAnsi="Calibri"/>
                <w:sz w:val="17"/>
              </w:rPr>
              <w:t>'DEPT_SCRUTINY', 'AUDIT_SANCTION', 'PAO_APPROVAL', 'DISBURSED', 'REJECTED'</w:t>
            </w:r>
          </w:p>
        </w:tc>
      </w:tr>
      <w:tr>
        <w:tc>
          <w:tcPr>
            <w:tcW w:type="dxa" w:w="3744"/>
            <w:shd w:fill="F8FAFC"/>
            <w:tcMar>
              <w:top w:w="60" w:type="dxa"/>
              <w:bottom w:w="60" w:type="dxa"/>
              <w:left w:w="100" w:type="dxa"/>
              <w:right w:w="100" w:type="dxa"/>
            </w:tcMar>
            <w:vAlign w:val="top"/>
          </w:tcPr>
          <w:p>
            <w:pPr>
              <w:spacing w:before="30" w:after="30" w:line="252" w:lineRule="auto"/>
            </w:pPr>
            <w:r>
              <w:rPr>
                <w:rFonts w:ascii="Calibri" w:hAnsi="Calibri"/>
                <w:sz w:val="17"/>
              </w:rPr>
              <w:t>rev_penal_status</w:t>
            </w:r>
          </w:p>
        </w:tc>
        <w:tc>
          <w:tcPr>
            <w:tcW w:type="dxa" w:w="7344"/>
            <w:shd w:fill="F8FAFC"/>
            <w:tcMar>
              <w:top w:w="60" w:type="dxa"/>
              <w:bottom w:w="60" w:type="dxa"/>
              <w:left w:w="100" w:type="dxa"/>
              <w:right w:w="100" w:type="dxa"/>
            </w:tcMar>
            <w:vAlign w:val="top"/>
          </w:tcPr>
          <w:p>
            <w:pPr>
              <w:spacing w:before="30" w:after="30" w:line="252" w:lineRule="auto"/>
            </w:pPr>
            <w:r>
              <w:rPr>
                <w:rFonts w:ascii="Calibri" w:hAnsi="Calibri"/>
                <w:sz w:val="17"/>
              </w:rPr>
              <w:t>'DEMAND_ISSUED', 'RECOVERED', 'DISPUTED', 'WAIVED', 'PENDING_REVIEW'</w:t>
            </w:r>
          </w:p>
        </w:tc>
      </w:tr>
      <w:tr>
        <w:tc>
          <w:tcPr>
            <w:tcW w:type="dxa" w:w="3744"/>
            <w:shd w:fill="FFFFFF"/>
            <w:tcMar>
              <w:top w:w="60" w:type="dxa"/>
              <w:bottom w:w="60" w:type="dxa"/>
              <w:left w:w="100" w:type="dxa"/>
              <w:right w:w="100" w:type="dxa"/>
            </w:tcMar>
            <w:vAlign w:val="top"/>
          </w:tcPr>
          <w:p>
            <w:pPr>
              <w:spacing w:before="30" w:after="30" w:line="252" w:lineRule="auto"/>
            </w:pPr>
            <w:r>
              <w:rPr>
                <w:rFonts w:ascii="Calibri" w:hAnsi="Calibri"/>
                <w:sz w:val="17"/>
              </w:rPr>
              <w:t>rev_devolution_status</w:t>
            </w:r>
          </w:p>
        </w:tc>
        <w:tc>
          <w:tcPr>
            <w:tcW w:type="dxa" w:w="7344"/>
            <w:shd w:fill="FFFFFF"/>
            <w:tcMar>
              <w:top w:w="60" w:type="dxa"/>
              <w:bottom w:w="60" w:type="dxa"/>
              <w:left w:w="100" w:type="dxa"/>
              <w:right w:w="100" w:type="dxa"/>
            </w:tcMar>
            <w:vAlign w:val="top"/>
          </w:tcPr>
          <w:p>
            <w:pPr>
              <w:spacing w:before="30" w:after="30" w:line="252" w:lineRule="auto"/>
            </w:pPr>
            <w:r>
              <w:rPr>
                <w:rFonts w:ascii="Calibri" w:hAnsi="Calibri"/>
                <w:sz w:val="17"/>
              </w:rPr>
              <w:t>'DRAFT', 'COMPUTED', 'SANCTIONED', 'DISBURSED'</w:t>
            </w:r>
          </w:p>
        </w:tc>
      </w:tr>
    </w:tbl>
    <w:p>
      <w:pPr>
        <w:spacing w:before="120"/>
      </w:pPr>
      <w:r>
        <w:rPr>
          <w:b/>
        </w:rPr>
        <w:t>Shared Core Master Tables referenced across Revenue module:</w:t>
      </w:r>
    </w:p>
    <w:p>
      <w:r>
        <w:t>organization, branch, department, ddo, app_user, role, user_role, permission, role_permission, agency_bank, bank_branch, chart_of_account, account_voucher, audit_change_log, document_number_sequence</w:t>
      </w:r>
    </w:p>
    <w:p>
      <w:pPr>
        <w:spacing w:before="240" w:after="60"/>
      </w:pPr>
      <w:r>
        <w:rPr>
          <w:rFonts w:ascii="Calibri" w:hAnsi="Calibri"/>
          <w:b/>
          <w:color w:val="0B2240"/>
          <w:sz w:val="26"/>
        </w:rPr>
        <w:t>4. Form-wise Database &amp; Lookup Mapping</w:t>
      </w:r>
    </w:p>
    <w:p>
      <w:r>
        <w:t>Each screen from the application is listed under its functional group, in the order it appears in the application's navigation menu. 'DB Objects Used' lists every table, view, function, procedure, trigger, or sequence supporting the screen. 'Lookups Used / Dropdown Fields' lists every selector, dropdown, filter, and radio group mapped to its lookup domain and backing DB source. 'Missing / Gap DB Objects' describes any unmodeled requirement. Colour coding: green = Full, amber = Partial, red = Not Covered, grey = Out of Scope.</w:t>
      </w:r>
    </w:p>
    <w:p>
      <w:pPr>
        <w:spacing w:before="180" w:after="40"/>
      </w:pPr>
      <w:r>
        <w:rPr>
          <w:rFonts w:ascii="Calibri" w:hAnsi="Calibri"/>
          <w:b/>
          <w:color w:val="026AA2"/>
          <w:sz w:val="22"/>
        </w:rPr>
        <w:t>0. Navigation &amp; Application Shell</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218"/>
        <w:gridCol w:w="2218"/>
        <w:gridCol w:w="2218"/>
        <w:gridCol w:w="2218"/>
        <w:gridCol w:w="2218"/>
      </w:tblGrid>
      <w:tr>
        <w:tc>
          <w:tcPr>
            <w:tcW w:type="dxa" w:w="2880"/>
            <w:shd w:fill="0B2240"/>
            <w:tcMar>
              <w:top w:w="90" w:type="dxa"/>
              <w:bottom w:w="90" w:type="dxa"/>
              <w:left w:w="120" w:type="dxa"/>
              <w:right w:w="120" w:type="dxa"/>
            </w:tcMar>
            <w:vAlign w:val="center"/>
          </w:tcPr>
          <w:p>
            <w:pPr>
              <w:spacing w:before="40" w:after="40"/>
            </w:pPr>
            <w:r>
              <w:rPr>
                <w:rFonts w:ascii="Calibri" w:hAnsi="Calibri"/>
                <w:b/>
                <w:color w:val="FFFFFF"/>
                <w:sz w:val="18"/>
              </w:rPr>
              <w:t>Screen</w:t>
            </w:r>
          </w:p>
        </w:tc>
        <w:tc>
          <w:tcPr>
            <w:tcW w:type="dxa" w:w="2592"/>
            <w:shd w:fill="0B2240"/>
            <w:tcMar>
              <w:top w:w="90" w:type="dxa"/>
              <w:bottom w:w="90" w:type="dxa"/>
              <w:left w:w="120" w:type="dxa"/>
              <w:right w:w="120" w:type="dxa"/>
            </w:tcMar>
            <w:vAlign w:val="center"/>
          </w:tcPr>
          <w:p>
            <w:pPr>
              <w:spacing w:before="40" w:after="40"/>
            </w:pPr>
            <w:r>
              <w:rPr>
                <w:rFonts w:ascii="Calibri" w:hAnsi="Calibri"/>
                <w:b/>
                <w:color w:val="FFFFFF"/>
                <w:sz w:val="18"/>
              </w:rPr>
              <w:t>DB Objects Used</w:t>
            </w:r>
          </w:p>
        </w:tc>
        <w:tc>
          <w:tcPr>
            <w:tcW w:type="dxa" w:w="2592"/>
            <w:shd w:fill="0B2240"/>
            <w:tcMar>
              <w:top w:w="90" w:type="dxa"/>
              <w:bottom w:w="90" w:type="dxa"/>
              <w:left w:w="120" w:type="dxa"/>
              <w:right w:w="120" w:type="dxa"/>
            </w:tcMar>
            <w:vAlign w:val="center"/>
          </w:tcPr>
          <w:p>
            <w:pPr>
              <w:spacing w:before="40" w:after="40"/>
            </w:pPr>
            <w:r>
              <w:rPr>
                <w:rFonts w:ascii="Calibri" w:hAnsi="Calibri"/>
                <w:b/>
                <w:color w:val="FFFFFF"/>
                <w:sz w:val="18"/>
              </w:rPr>
              <w:t>Lookups Used / Dropdown Fields</w:t>
            </w:r>
          </w:p>
        </w:tc>
        <w:tc>
          <w:tcPr>
            <w:tcW w:type="dxa" w:w="2016"/>
            <w:shd w:fill="0B2240"/>
            <w:tcMar>
              <w:top w:w="90" w:type="dxa"/>
              <w:bottom w:w="90" w:type="dxa"/>
              <w:left w:w="120" w:type="dxa"/>
              <w:right w:w="120" w:type="dxa"/>
            </w:tcMar>
            <w:vAlign w:val="center"/>
          </w:tcPr>
          <w:p>
            <w:pPr>
              <w:spacing w:before="40" w:after="40"/>
            </w:pPr>
            <w:r>
              <w:rPr>
                <w:rFonts w:ascii="Calibri" w:hAnsi="Calibri"/>
                <w:b/>
                <w:color w:val="FFFFFF"/>
                <w:sz w:val="18"/>
              </w:rPr>
              <w:t>Missing / Gap DB Objects</w:t>
            </w:r>
          </w:p>
        </w:tc>
        <w:tc>
          <w:tcPr>
            <w:tcW w:type="dxa" w:w="1008"/>
            <w:shd w:fill="0B2240"/>
            <w:tcMar>
              <w:top w:w="90" w:type="dxa"/>
              <w:bottom w:w="90" w:type="dxa"/>
              <w:left w:w="120" w:type="dxa"/>
              <w:right w:w="120" w:type="dxa"/>
            </w:tcMar>
            <w:vAlign w:val="center"/>
          </w:tcPr>
          <w:p>
            <w:pPr>
              <w:spacing w:before="40" w:after="40"/>
            </w:pPr>
            <w:r>
              <w:rPr>
                <w:rFonts w:ascii="Calibri" w:hAnsi="Calibri"/>
                <w:b/>
                <w:color w:val="FFFFFF"/>
                <w:sz w:val="18"/>
              </w:rPr>
              <w:t>Status</w:t>
            </w:r>
          </w:p>
        </w:tc>
      </w:tr>
      <w:tr>
        <w:tc>
          <w:tcPr>
            <w:tcW w:type="dxa" w:w="2880"/>
            <w:shd w:fill="FFFFFF"/>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Application Header &amp; Role Switcher</w:t>
            </w:r>
          </w:p>
          <w:p>
            <w:pPr>
              <w:spacing w:before="30" w:after="30" w:line="252" w:lineRule="auto"/>
            </w:pPr>
            <w:r>
              <w:rPr>
                <w:rFonts w:ascii="Calibri" w:hAnsi="Calibri"/>
                <w:i/>
                <w:color w:val="026AA2"/>
                <w:sz w:val="17"/>
              </w:rPr>
              <w:t>shell-header</w:t>
            </w:r>
          </w:p>
          <w:p>
            <w:pPr>
              <w:spacing w:before="30" w:after="30" w:line="252" w:lineRule="auto"/>
            </w:pPr>
            <w:r>
              <w:rPr>
                <w:rFonts w:ascii="Calibri" w:hAnsi="Calibri"/>
                <w:color w:val="475467"/>
                <w:sz w:val="17"/>
              </w:rPr>
              <w:t>Global header bar: role switcher (Maker, Checker, Admin, Verifier), active financial year (2026-27), business date, notification badge, and quick action trigger.</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app_user; role; branch; rev_system_config</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Role Switcher (LOOKUP_USER_ROLE -&gt; role.role_code); PAO Office (LOOKUP_PAO -&gt; branch.branch_code where branch_type='PAO'); Financial Year (rev_system_config.current_financial_year)</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FFFFF"/>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8FAFC"/>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Real-time System Notifications</w:t>
            </w:r>
          </w:p>
          <w:p>
            <w:pPr>
              <w:spacing w:before="30" w:after="30" w:line="252" w:lineRule="auto"/>
            </w:pPr>
            <w:r>
              <w:rPr>
                <w:rFonts w:ascii="Calibri" w:hAnsi="Calibri"/>
                <w:i/>
                <w:color w:val="026AA2"/>
                <w:sz w:val="17"/>
              </w:rPr>
              <w:t>shell-notifications</w:t>
            </w:r>
          </w:p>
          <w:p>
            <w:pPr>
              <w:spacing w:before="30" w:after="30" w:line="252" w:lineRule="auto"/>
            </w:pPr>
            <w:r>
              <w:rPr>
                <w:rFonts w:ascii="Calibri" w:hAnsi="Calibri"/>
                <w:color w:val="475467"/>
                <w:sz w:val="17"/>
              </w:rPr>
              <w:t>Slide-over notification drawer displaying high-priority alerts, SLA escalation warnings, discrepancy solver approvals, and unremitted scroll alerts.</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rev_system_notifications; app_user</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Alert Level (LOOKUP_NOTIFICATION_LEVEL -&gt; rev_system_notifications.level ['ok', 'warn', 'err', 'info']); Target Role (LOOKUP_USER_ROLE)</w:t>
            </w:r>
          </w:p>
        </w:tc>
        <w:tc>
          <w:tcPr>
            <w:tcW w:type="dxa" w:w="2016"/>
            <w:shd w:fill="F8FAFC"/>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8FAFC"/>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FFFFF"/>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Quick Action Launcher</w:t>
            </w:r>
          </w:p>
          <w:p>
            <w:pPr>
              <w:spacing w:before="30" w:after="30" w:line="252" w:lineRule="auto"/>
            </w:pPr>
            <w:r>
              <w:rPr>
                <w:rFonts w:ascii="Calibri" w:hAnsi="Calibri"/>
                <w:i/>
                <w:color w:val="026AA2"/>
                <w:sz w:val="17"/>
              </w:rPr>
              <w:t>shell-quick-action</w:t>
            </w:r>
          </w:p>
          <w:p>
            <w:pPr>
              <w:spacing w:before="30" w:after="30" w:line="252" w:lineRule="auto"/>
            </w:pPr>
            <w:r>
              <w:rPr>
                <w:rFonts w:ascii="Calibri" w:hAnsi="Calibri"/>
                <w:color w:val="475467"/>
                <w:sz w:val="17"/>
              </w:rPr>
              <w:t>Modal shortcut launcher for instant 3-way recon execution, scroll upload, penal interest notice issuance, and refund bill dispatch.</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rev_recon_run; rev_upload_batch; rev_exception; rev_refund_case</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Revenue Source (LOOKUP_REVENUE_SOURCE -&gt; rev_revenue_source.source_code); Match Status (LOOKUP_MATCH_STATUS)</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FFFFF"/>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bl>
    <w:p>
      <w:pPr>
        <w:spacing w:before="180" w:after="40"/>
      </w:pPr>
      <w:r>
        <w:rPr>
          <w:rFonts w:ascii="Calibri" w:hAnsi="Calibri"/>
          <w:b/>
          <w:color w:val="026AA2"/>
          <w:sz w:val="22"/>
        </w:rPr>
        <w:t>1. Executive Dashboard &amp; Monitoring</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218"/>
        <w:gridCol w:w="2218"/>
        <w:gridCol w:w="2218"/>
        <w:gridCol w:w="2218"/>
        <w:gridCol w:w="2218"/>
      </w:tblGrid>
      <w:tr>
        <w:tc>
          <w:tcPr>
            <w:tcW w:type="dxa" w:w="2880"/>
            <w:shd w:fill="0B2240"/>
            <w:tcMar>
              <w:top w:w="90" w:type="dxa"/>
              <w:bottom w:w="90" w:type="dxa"/>
              <w:left w:w="120" w:type="dxa"/>
              <w:right w:w="120" w:type="dxa"/>
            </w:tcMar>
            <w:vAlign w:val="center"/>
          </w:tcPr>
          <w:p>
            <w:pPr>
              <w:spacing w:before="40" w:after="40"/>
            </w:pPr>
            <w:r>
              <w:rPr>
                <w:rFonts w:ascii="Calibri" w:hAnsi="Calibri"/>
                <w:b/>
                <w:color w:val="FFFFFF"/>
                <w:sz w:val="18"/>
              </w:rPr>
              <w:t>Screen</w:t>
            </w:r>
          </w:p>
        </w:tc>
        <w:tc>
          <w:tcPr>
            <w:tcW w:type="dxa" w:w="2592"/>
            <w:shd w:fill="0B2240"/>
            <w:tcMar>
              <w:top w:w="90" w:type="dxa"/>
              <w:bottom w:w="90" w:type="dxa"/>
              <w:left w:w="120" w:type="dxa"/>
              <w:right w:w="120" w:type="dxa"/>
            </w:tcMar>
            <w:vAlign w:val="center"/>
          </w:tcPr>
          <w:p>
            <w:pPr>
              <w:spacing w:before="40" w:after="40"/>
            </w:pPr>
            <w:r>
              <w:rPr>
                <w:rFonts w:ascii="Calibri" w:hAnsi="Calibri"/>
                <w:b/>
                <w:color w:val="FFFFFF"/>
                <w:sz w:val="18"/>
              </w:rPr>
              <w:t>DB Objects Used</w:t>
            </w:r>
          </w:p>
        </w:tc>
        <w:tc>
          <w:tcPr>
            <w:tcW w:type="dxa" w:w="2592"/>
            <w:shd w:fill="0B2240"/>
            <w:tcMar>
              <w:top w:w="90" w:type="dxa"/>
              <w:bottom w:w="90" w:type="dxa"/>
              <w:left w:w="120" w:type="dxa"/>
              <w:right w:w="120" w:type="dxa"/>
            </w:tcMar>
            <w:vAlign w:val="center"/>
          </w:tcPr>
          <w:p>
            <w:pPr>
              <w:spacing w:before="40" w:after="40"/>
            </w:pPr>
            <w:r>
              <w:rPr>
                <w:rFonts w:ascii="Calibri" w:hAnsi="Calibri"/>
                <w:b/>
                <w:color w:val="FFFFFF"/>
                <w:sz w:val="18"/>
              </w:rPr>
              <w:t>Lookups Used / Dropdown Fields</w:t>
            </w:r>
          </w:p>
        </w:tc>
        <w:tc>
          <w:tcPr>
            <w:tcW w:type="dxa" w:w="2016"/>
            <w:shd w:fill="0B2240"/>
            <w:tcMar>
              <w:top w:w="90" w:type="dxa"/>
              <w:bottom w:w="90" w:type="dxa"/>
              <w:left w:w="120" w:type="dxa"/>
              <w:right w:w="120" w:type="dxa"/>
            </w:tcMar>
            <w:vAlign w:val="center"/>
          </w:tcPr>
          <w:p>
            <w:pPr>
              <w:spacing w:before="40" w:after="40"/>
            </w:pPr>
            <w:r>
              <w:rPr>
                <w:rFonts w:ascii="Calibri" w:hAnsi="Calibri"/>
                <w:b/>
                <w:color w:val="FFFFFF"/>
                <w:sz w:val="18"/>
              </w:rPr>
              <w:t>Missing / Gap DB Objects</w:t>
            </w:r>
          </w:p>
        </w:tc>
        <w:tc>
          <w:tcPr>
            <w:tcW w:type="dxa" w:w="1008"/>
            <w:shd w:fill="0B2240"/>
            <w:tcMar>
              <w:top w:w="90" w:type="dxa"/>
              <w:bottom w:w="90" w:type="dxa"/>
              <w:left w:w="120" w:type="dxa"/>
              <w:right w:w="120" w:type="dxa"/>
            </w:tcMar>
            <w:vAlign w:val="center"/>
          </w:tcPr>
          <w:p>
            <w:pPr>
              <w:spacing w:before="40" w:after="40"/>
            </w:pPr>
            <w:r>
              <w:rPr>
                <w:rFonts w:ascii="Calibri" w:hAnsi="Calibri"/>
                <w:b/>
                <w:color w:val="FFFFFF"/>
                <w:sz w:val="18"/>
              </w:rPr>
              <w:t>Status</w:t>
            </w:r>
          </w:p>
        </w:tc>
      </w:tr>
      <w:tr>
        <w:tc>
          <w:tcPr>
            <w:tcW w:type="dxa" w:w="2880"/>
            <w:shd w:fill="FFFFFF"/>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Executive KPI &amp; Summary Cards</w:t>
            </w:r>
          </w:p>
          <w:p>
            <w:pPr>
              <w:spacing w:before="30" w:after="30" w:line="252" w:lineRule="auto"/>
            </w:pPr>
            <w:r>
              <w:rPr>
                <w:rFonts w:ascii="Calibri" w:hAnsi="Calibri"/>
                <w:i/>
                <w:color w:val="026AA2"/>
                <w:sz w:val="17"/>
              </w:rPr>
              <w:t>dash-kpis</w:t>
            </w:r>
          </w:p>
          <w:p>
            <w:pPr>
              <w:spacing w:before="30" w:after="30" w:line="252" w:lineRule="auto"/>
            </w:pPr>
            <w:r>
              <w:rPr>
                <w:rFonts w:ascii="Calibri" w:hAnsi="Calibri"/>
                <w:color w:val="475467"/>
                <w:sz w:val="17"/>
              </w:rPr>
              <w:t>Top-level revenue metrics: Gross Collections, 3-Way Reconciled %, Variance / Unmatched Amount, Penal Interest Recoverable, Open Exceptions, Active Devolution.</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rev_vw_dashboard_kpis; rev_recon_result; rev_penal_claim; rev_devolution_computation</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Match Status (LOOKUP_MATCH_STATUS); Revenue Source (LOOKUP_REVENUE_SOURCE)</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FFFFF"/>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8FAFC"/>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3-Way Reconciliation Status Trend</w:t>
            </w:r>
          </w:p>
          <w:p>
            <w:pPr>
              <w:spacing w:before="30" w:after="30" w:line="252" w:lineRule="auto"/>
            </w:pPr>
            <w:r>
              <w:rPr>
                <w:rFonts w:ascii="Calibri" w:hAnsi="Calibri"/>
                <w:i/>
                <w:color w:val="026AA2"/>
                <w:sz w:val="17"/>
              </w:rPr>
              <w:t>dash-trend</w:t>
            </w:r>
          </w:p>
          <w:p>
            <w:pPr>
              <w:spacing w:before="30" w:after="30" w:line="252" w:lineRule="auto"/>
            </w:pPr>
            <w:r>
              <w:rPr>
                <w:rFonts w:ascii="Calibri" w:hAnsi="Calibri"/>
                <w:color w:val="475467"/>
                <w:sz w:val="17"/>
              </w:rPr>
              <w:t>Interactive trend chart comparing daily Portal Collections, Bank Remittances, and RBI Luggage settlements across business days.</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rev_vw_3way_recon_summary; rev_recon_result</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Match Status (LOOKUP_MATCH_STATUS -&gt; ['Matched', 'Pending', 'Suspend', 'RAT', 'Mismatch'])</w:t>
            </w:r>
          </w:p>
        </w:tc>
        <w:tc>
          <w:tcPr>
            <w:tcW w:type="dxa" w:w="2016"/>
            <w:shd w:fill="F8FAFC"/>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8FAFC"/>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FFFFF"/>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Department-wise Collection Breakdown</w:t>
            </w:r>
          </w:p>
          <w:p>
            <w:pPr>
              <w:spacing w:before="30" w:after="30" w:line="252" w:lineRule="auto"/>
            </w:pPr>
            <w:r>
              <w:rPr>
                <w:rFonts w:ascii="Calibri" w:hAnsi="Calibri"/>
                <w:i/>
                <w:color w:val="026AA2"/>
                <w:sz w:val="17"/>
              </w:rPr>
              <w:t>dash-dept</w:t>
            </w:r>
          </w:p>
          <w:p>
            <w:pPr>
              <w:spacing w:before="30" w:after="30" w:line="252" w:lineRule="auto"/>
            </w:pPr>
            <w:r>
              <w:rPr>
                <w:rFonts w:ascii="Calibri" w:hAnsi="Calibri"/>
                <w:color w:val="475467"/>
                <w:sz w:val="17"/>
              </w:rPr>
              <w:t>Donut chart and summary table of revenue collections across Trade &amp; Taxes, Excise, Transport, Stamps, and Non-Tax revenue streams.</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rev_portal_transaction_staging; rev_revenue_source; department</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Department Code (LOOKUP_DEPARTMENT -&gt; department.department_code ['TT', 'EXCISE', 'TRANSPORT', 'STAMPREG', 'FIN', 'GAD'])</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FFFFF"/>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8FAFC"/>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Critical Discrepancies Worklist</w:t>
            </w:r>
          </w:p>
          <w:p>
            <w:pPr>
              <w:spacing w:before="30" w:after="30" w:line="252" w:lineRule="auto"/>
            </w:pPr>
            <w:r>
              <w:rPr>
                <w:rFonts w:ascii="Calibri" w:hAnsi="Calibri"/>
                <w:i/>
                <w:color w:val="026AA2"/>
                <w:sz w:val="17"/>
              </w:rPr>
              <w:t>dash-worklist</w:t>
            </w:r>
          </w:p>
          <w:p>
            <w:pPr>
              <w:spacing w:before="30" w:after="30" w:line="252" w:lineRule="auto"/>
            </w:pPr>
            <w:r>
              <w:rPr>
                <w:rFonts w:ascii="Calibri" w:hAnsi="Calibri"/>
                <w:color w:val="475467"/>
                <w:sz w:val="17"/>
              </w:rPr>
              <w:t>Recent un-reconciled items and SLA breaches requiring urgent PAO / Bank intervention.</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rev_recon_result; rev_exception; app_user</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Severity (LOOKUP_SEVERITY -&gt; rev_exception.severity ['Critical', 'High', 'Medium', 'Low']); Status (LOOKUP_MATCH_STATUS)</w:t>
            </w:r>
          </w:p>
        </w:tc>
        <w:tc>
          <w:tcPr>
            <w:tcW w:type="dxa" w:w="2016"/>
            <w:shd w:fill="F8FAFC"/>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8FAFC"/>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bl>
    <w:p>
      <w:pPr>
        <w:spacing w:before="180" w:after="40"/>
      </w:pPr>
      <w:r>
        <w:rPr>
          <w:rFonts w:ascii="Calibri" w:hAnsi="Calibri"/>
          <w:b/>
          <w:color w:val="026AA2"/>
          <w:sz w:val="22"/>
        </w:rPr>
        <w:t>2. Revenue Collection Staging &amp; Ingestion</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218"/>
        <w:gridCol w:w="2218"/>
        <w:gridCol w:w="2218"/>
        <w:gridCol w:w="2218"/>
        <w:gridCol w:w="2218"/>
      </w:tblGrid>
      <w:tr>
        <w:tc>
          <w:tcPr>
            <w:tcW w:type="dxa" w:w="2880"/>
            <w:shd w:fill="0B2240"/>
            <w:tcMar>
              <w:top w:w="90" w:type="dxa"/>
              <w:bottom w:w="90" w:type="dxa"/>
              <w:left w:w="120" w:type="dxa"/>
              <w:right w:w="120" w:type="dxa"/>
            </w:tcMar>
            <w:vAlign w:val="center"/>
          </w:tcPr>
          <w:p>
            <w:pPr>
              <w:spacing w:before="40" w:after="40"/>
            </w:pPr>
            <w:r>
              <w:rPr>
                <w:rFonts w:ascii="Calibri" w:hAnsi="Calibri"/>
                <w:b/>
                <w:color w:val="FFFFFF"/>
                <w:sz w:val="18"/>
              </w:rPr>
              <w:t>Screen</w:t>
            </w:r>
          </w:p>
        </w:tc>
        <w:tc>
          <w:tcPr>
            <w:tcW w:type="dxa" w:w="2592"/>
            <w:shd w:fill="0B2240"/>
            <w:tcMar>
              <w:top w:w="90" w:type="dxa"/>
              <w:bottom w:w="90" w:type="dxa"/>
              <w:left w:w="120" w:type="dxa"/>
              <w:right w:w="120" w:type="dxa"/>
            </w:tcMar>
            <w:vAlign w:val="center"/>
          </w:tcPr>
          <w:p>
            <w:pPr>
              <w:spacing w:before="40" w:after="40"/>
            </w:pPr>
            <w:r>
              <w:rPr>
                <w:rFonts w:ascii="Calibri" w:hAnsi="Calibri"/>
                <w:b/>
                <w:color w:val="FFFFFF"/>
                <w:sz w:val="18"/>
              </w:rPr>
              <w:t>DB Objects Used</w:t>
            </w:r>
          </w:p>
        </w:tc>
        <w:tc>
          <w:tcPr>
            <w:tcW w:type="dxa" w:w="2592"/>
            <w:shd w:fill="0B2240"/>
            <w:tcMar>
              <w:top w:w="90" w:type="dxa"/>
              <w:bottom w:w="90" w:type="dxa"/>
              <w:left w:w="120" w:type="dxa"/>
              <w:right w:w="120" w:type="dxa"/>
            </w:tcMar>
            <w:vAlign w:val="center"/>
          </w:tcPr>
          <w:p>
            <w:pPr>
              <w:spacing w:before="40" w:after="40"/>
            </w:pPr>
            <w:r>
              <w:rPr>
                <w:rFonts w:ascii="Calibri" w:hAnsi="Calibri"/>
                <w:b/>
                <w:color w:val="FFFFFF"/>
                <w:sz w:val="18"/>
              </w:rPr>
              <w:t>Lookups Used / Dropdown Fields</w:t>
            </w:r>
          </w:p>
        </w:tc>
        <w:tc>
          <w:tcPr>
            <w:tcW w:type="dxa" w:w="2016"/>
            <w:shd w:fill="0B2240"/>
            <w:tcMar>
              <w:top w:w="90" w:type="dxa"/>
              <w:bottom w:w="90" w:type="dxa"/>
              <w:left w:w="120" w:type="dxa"/>
              <w:right w:w="120" w:type="dxa"/>
            </w:tcMar>
            <w:vAlign w:val="center"/>
          </w:tcPr>
          <w:p>
            <w:pPr>
              <w:spacing w:before="40" w:after="40"/>
            </w:pPr>
            <w:r>
              <w:rPr>
                <w:rFonts w:ascii="Calibri" w:hAnsi="Calibri"/>
                <w:b/>
                <w:color w:val="FFFFFF"/>
                <w:sz w:val="18"/>
              </w:rPr>
              <w:t>Missing / Gap DB Objects</w:t>
            </w:r>
          </w:p>
        </w:tc>
        <w:tc>
          <w:tcPr>
            <w:tcW w:type="dxa" w:w="1008"/>
            <w:shd w:fill="0B2240"/>
            <w:tcMar>
              <w:top w:w="90" w:type="dxa"/>
              <w:bottom w:w="90" w:type="dxa"/>
              <w:left w:w="120" w:type="dxa"/>
              <w:right w:w="120" w:type="dxa"/>
            </w:tcMar>
            <w:vAlign w:val="center"/>
          </w:tcPr>
          <w:p>
            <w:pPr>
              <w:spacing w:before="40" w:after="40"/>
            </w:pPr>
            <w:r>
              <w:rPr>
                <w:rFonts w:ascii="Calibri" w:hAnsi="Calibri"/>
                <w:b/>
                <w:color w:val="FFFFFF"/>
                <w:sz w:val="18"/>
              </w:rPr>
              <w:t>Status</w:t>
            </w:r>
          </w:p>
        </w:tc>
      </w:tr>
      <w:tr>
        <w:tc>
          <w:tcPr>
            <w:tcW w:type="dxa" w:w="2880"/>
            <w:shd w:fill="FFFFFF"/>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Staged Transactions Filter Bar</w:t>
            </w:r>
          </w:p>
          <w:p>
            <w:pPr>
              <w:spacing w:before="30" w:after="30" w:line="252" w:lineRule="auto"/>
            </w:pPr>
            <w:r>
              <w:rPr>
                <w:rFonts w:ascii="Calibri" w:hAnsi="Calibri"/>
                <w:i/>
                <w:color w:val="026AA2"/>
                <w:sz w:val="17"/>
              </w:rPr>
              <w:t>coll-filter</w:t>
            </w:r>
          </w:p>
          <w:p>
            <w:pPr>
              <w:spacing w:before="30" w:after="30" w:line="252" w:lineRule="auto"/>
            </w:pPr>
            <w:r>
              <w:rPr>
                <w:rFonts w:ascii="Calibri" w:hAnsi="Calibri"/>
                <w:color w:val="475467"/>
                <w:sz w:val="17"/>
              </w:rPr>
              <w:t>Multi-parameter search and filter ribbon: Revenue Source, Department, PAO, Date Range (From/To), Challan No, CIN, CPIN, Payer ID, Amount Range.</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rev_portal_transaction_staging; rev_revenue_source; department; branch</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Revenue Source (LOOKUP_REVENUE_SOURCE); Department (LOOKUP_DEPARTMENT); PAO Code (LOOKUP_PAO -&gt; branch.branch_code)</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FFFFF"/>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8FAFC"/>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Portal Collection Staging Grid</w:t>
            </w:r>
          </w:p>
          <w:p>
            <w:pPr>
              <w:spacing w:before="30" w:after="30" w:line="252" w:lineRule="auto"/>
            </w:pPr>
            <w:r>
              <w:rPr>
                <w:rFonts w:ascii="Calibri" w:hAnsi="Calibri"/>
                <w:i/>
                <w:color w:val="026AA2"/>
                <w:sz w:val="17"/>
              </w:rPr>
              <w:t>coll-grid</w:t>
            </w:r>
          </w:p>
          <w:p>
            <w:pPr>
              <w:spacing w:before="30" w:after="30" w:line="252" w:lineRule="auto"/>
            </w:pPr>
            <w:r>
              <w:rPr>
                <w:rFonts w:ascii="Calibri" w:hAnsi="Calibri"/>
                <w:color w:val="475467"/>
                <w:sz w:val="17"/>
              </w:rPr>
              <w:t>Tabular listing of citizen revenue receipts with Challan No, CIN, CPIN, Payer Name, Amount, Service Date, PAO, Dept, Validation status.</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rev_portal_transaction_staging; chart_of_account</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Payment Mode (LOOKUP_PAYMENT_MODE -&gt; ['NETBANKING', 'UPI', 'CARD', 'CASH', 'CHEQUE']); Validation Status (is_valid)</w:t>
            </w:r>
          </w:p>
        </w:tc>
        <w:tc>
          <w:tcPr>
            <w:tcW w:type="dxa" w:w="2016"/>
            <w:shd w:fill="F8FAFC"/>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8FAFC"/>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FFFFF"/>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Transaction Detail &amp; Payload Drawer</w:t>
            </w:r>
          </w:p>
          <w:p>
            <w:pPr>
              <w:spacing w:before="30" w:after="30" w:line="252" w:lineRule="auto"/>
            </w:pPr>
            <w:r>
              <w:rPr>
                <w:rFonts w:ascii="Calibri" w:hAnsi="Calibri"/>
                <w:i/>
                <w:color w:val="026AA2"/>
                <w:sz w:val="17"/>
              </w:rPr>
              <w:t>coll-drawer</w:t>
            </w:r>
          </w:p>
          <w:p>
            <w:pPr>
              <w:spacing w:before="30" w:after="30" w:line="252" w:lineRule="auto"/>
            </w:pPr>
            <w:r>
              <w:rPr>
                <w:rFonts w:ascii="Calibri" w:hAnsi="Calibri"/>
                <w:color w:val="475467"/>
                <w:sz w:val="17"/>
              </w:rPr>
              <w:t>Slide-out investigation drawer showing raw JSON portal payload, payment gateway response, departmental clearance, and CDC history.</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rev_portal_transaction_staging; audit_change_log</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Payment Mode (LOOKUP_PAYMENT_MODE); CDC Operation (LOOKUP_CDC_OPERATION -&gt; ['I', 'U', 'D'])</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FFFFF"/>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8FAFC"/>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Department Batch Validation</w:t>
            </w:r>
          </w:p>
          <w:p>
            <w:pPr>
              <w:spacing w:before="30" w:after="30" w:line="252" w:lineRule="auto"/>
            </w:pPr>
            <w:r>
              <w:rPr>
                <w:rFonts w:ascii="Calibri" w:hAnsi="Calibri"/>
                <w:i/>
                <w:color w:val="026AA2"/>
                <w:sz w:val="17"/>
              </w:rPr>
              <w:t>coll-validate</w:t>
            </w:r>
          </w:p>
          <w:p>
            <w:pPr>
              <w:spacing w:before="30" w:after="30" w:line="252" w:lineRule="auto"/>
            </w:pPr>
            <w:r>
              <w:rPr>
                <w:rFonts w:ascii="Calibri" w:hAnsi="Calibri"/>
                <w:color w:val="475467"/>
                <w:sz w:val="17"/>
              </w:rPr>
              <w:t>Action to mark pending portal records as departmentally scrutinized and verified for 3-way matching.</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rev_portal_transaction_staging; app_user</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User Role (LOOKUP_USER_ROLE -&gt; role.role_code ['DEPT_VERIFIER', 'SYSADMIN'])</w:t>
            </w:r>
          </w:p>
        </w:tc>
        <w:tc>
          <w:tcPr>
            <w:tcW w:type="dxa" w:w="2016"/>
            <w:shd w:fill="F8FAFC"/>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8FAFC"/>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bl>
    <w:p>
      <w:pPr>
        <w:spacing w:before="180" w:after="40"/>
      </w:pPr>
      <w:r>
        <w:rPr>
          <w:rFonts w:ascii="Calibri" w:hAnsi="Calibri"/>
          <w:b/>
          <w:color w:val="026AA2"/>
          <w:sz w:val="22"/>
        </w:rPr>
        <w:t>3. Data Upload Centre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218"/>
        <w:gridCol w:w="2218"/>
        <w:gridCol w:w="2218"/>
        <w:gridCol w:w="2218"/>
        <w:gridCol w:w="2218"/>
      </w:tblGrid>
      <w:tr>
        <w:tc>
          <w:tcPr>
            <w:tcW w:type="dxa" w:w="2880"/>
            <w:shd w:fill="0B2240"/>
            <w:tcMar>
              <w:top w:w="90" w:type="dxa"/>
              <w:bottom w:w="90" w:type="dxa"/>
              <w:left w:w="120" w:type="dxa"/>
              <w:right w:w="120" w:type="dxa"/>
            </w:tcMar>
            <w:vAlign w:val="center"/>
          </w:tcPr>
          <w:p>
            <w:pPr>
              <w:spacing w:before="40" w:after="40"/>
            </w:pPr>
            <w:r>
              <w:rPr>
                <w:rFonts w:ascii="Calibri" w:hAnsi="Calibri"/>
                <w:b/>
                <w:color w:val="FFFFFF"/>
                <w:sz w:val="18"/>
              </w:rPr>
              <w:t>Screen</w:t>
            </w:r>
          </w:p>
        </w:tc>
        <w:tc>
          <w:tcPr>
            <w:tcW w:type="dxa" w:w="2592"/>
            <w:shd w:fill="0B2240"/>
            <w:tcMar>
              <w:top w:w="90" w:type="dxa"/>
              <w:bottom w:w="90" w:type="dxa"/>
              <w:left w:w="120" w:type="dxa"/>
              <w:right w:w="120" w:type="dxa"/>
            </w:tcMar>
            <w:vAlign w:val="center"/>
          </w:tcPr>
          <w:p>
            <w:pPr>
              <w:spacing w:before="40" w:after="40"/>
            </w:pPr>
            <w:r>
              <w:rPr>
                <w:rFonts w:ascii="Calibri" w:hAnsi="Calibri"/>
                <w:b/>
                <w:color w:val="FFFFFF"/>
                <w:sz w:val="18"/>
              </w:rPr>
              <w:t>DB Objects Used</w:t>
            </w:r>
          </w:p>
        </w:tc>
        <w:tc>
          <w:tcPr>
            <w:tcW w:type="dxa" w:w="2592"/>
            <w:shd w:fill="0B2240"/>
            <w:tcMar>
              <w:top w:w="90" w:type="dxa"/>
              <w:bottom w:w="90" w:type="dxa"/>
              <w:left w:w="120" w:type="dxa"/>
              <w:right w:w="120" w:type="dxa"/>
            </w:tcMar>
            <w:vAlign w:val="center"/>
          </w:tcPr>
          <w:p>
            <w:pPr>
              <w:spacing w:before="40" w:after="40"/>
            </w:pPr>
            <w:r>
              <w:rPr>
                <w:rFonts w:ascii="Calibri" w:hAnsi="Calibri"/>
                <w:b/>
                <w:color w:val="FFFFFF"/>
                <w:sz w:val="18"/>
              </w:rPr>
              <w:t>Lookups Used / Dropdown Fields</w:t>
            </w:r>
          </w:p>
        </w:tc>
        <w:tc>
          <w:tcPr>
            <w:tcW w:type="dxa" w:w="2016"/>
            <w:shd w:fill="0B2240"/>
            <w:tcMar>
              <w:top w:w="90" w:type="dxa"/>
              <w:bottom w:w="90" w:type="dxa"/>
              <w:left w:w="120" w:type="dxa"/>
              <w:right w:w="120" w:type="dxa"/>
            </w:tcMar>
            <w:vAlign w:val="center"/>
          </w:tcPr>
          <w:p>
            <w:pPr>
              <w:spacing w:before="40" w:after="40"/>
            </w:pPr>
            <w:r>
              <w:rPr>
                <w:rFonts w:ascii="Calibri" w:hAnsi="Calibri"/>
                <w:b/>
                <w:color w:val="FFFFFF"/>
                <w:sz w:val="18"/>
              </w:rPr>
              <w:t>Missing / Gap DB Objects</w:t>
            </w:r>
          </w:p>
        </w:tc>
        <w:tc>
          <w:tcPr>
            <w:tcW w:type="dxa" w:w="1008"/>
            <w:shd w:fill="0B2240"/>
            <w:tcMar>
              <w:top w:w="90" w:type="dxa"/>
              <w:bottom w:w="90" w:type="dxa"/>
              <w:left w:w="120" w:type="dxa"/>
              <w:right w:w="120" w:type="dxa"/>
            </w:tcMar>
            <w:vAlign w:val="center"/>
          </w:tcPr>
          <w:p>
            <w:pPr>
              <w:spacing w:before="40" w:after="40"/>
            </w:pPr>
            <w:r>
              <w:rPr>
                <w:rFonts w:ascii="Calibri" w:hAnsi="Calibri"/>
                <w:b/>
                <w:color w:val="FFFFFF"/>
                <w:sz w:val="18"/>
              </w:rPr>
              <w:t>Status</w:t>
            </w:r>
          </w:p>
        </w:tc>
      </w:tr>
      <w:tr>
        <w:tc>
          <w:tcPr>
            <w:tcW w:type="dxa" w:w="2880"/>
            <w:shd w:fill="FFFFFF"/>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Multi-Source File Upload Form</w:t>
            </w:r>
          </w:p>
          <w:p>
            <w:pPr>
              <w:spacing w:before="30" w:after="30" w:line="252" w:lineRule="auto"/>
            </w:pPr>
            <w:r>
              <w:rPr>
                <w:rFonts w:ascii="Calibri" w:hAnsi="Calibri"/>
                <w:i/>
                <w:color w:val="026AA2"/>
                <w:sz w:val="17"/>
              </w:rPr>
              <w:t>upl-form</w:t>
            </w:r>
          </w:p>
          <w:p>
            <w:pPr>
              <w:spacing w:before="30" w:after="30" w:line="252" w:lineRule="auto"/>
            </w:pPr>
            <w:r>
              <w:rPr>
                <w:rFonts w:ascii="Calibri" w:hAnsi="Calibri"/>
                <w:color w:val="475467"/>
                <w:sz w:val="17"/>
              </w:rPr>
              <w:t>Upload portal receipts, agency bank collection scrolls, and RBI CAS luggage files (.csv, .xlsx, .txt) with header validation and checksum checking.</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rev_upload_batch; agency_bank; branch</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Source Type (LOOKUP_REVENUE_SOURCE); Bank Code (LOOKUP_AGENCY_BANK -&gt; agency_bank.bank_code ['SBI', 'HDFC', 'ICICI', 'PNB']); PAO Code (LOOKUP_PAO)</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FFFFF"/>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8FAFC"/>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Batch Ingestion History</w:t>
            </w:r>
          </w:p>
          <w:p>
            <w:pPr>
              <w:spacing w:before="30" w:after="30" w:line="252" w:lineRule="auto"/>
            </w:pPr>
            <w:r>
              <w:rPr>
                <w:rFonts w:ascii="Calibri" w:hAnsi="Calibri"/>
                <w:i/>
                <w:color w:val="026AA2"/>
                <w:sz w:val="17"/>
              </w:rPr>
              <w:t>upl-history</w:t>
            </w:r>
          </w:p>
          <w:p>
            <w:pPr>
              <w:spacing w:before="30" w:after="30" w:line="252" w:lineRule="auto"/>
            </w:pPr>
            <w:r>
              <w:rPr>
                <w:rFonts w:ascii="Calibri" w:hAnsi="Calibri"/>
                <w:color w:val="475467"/>
                <w:sz w:val="17"/>
              </w:rPr>
              <w:t>Batch log table: Batch ID, File Name, Upload Type, Total Records, Success Count, Rejected Count, Uploaded By, Uploaded At, Status.</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rev_upload_batch; app_user</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Bank Code (LOOKUP_AGENCY_BANK); Batch Status (rev_upload_batch.status ['VALIDATED', 'PROCESSED', 'FAILED'])</w:t>
            </w:r>
          </w:p>
        </w:tc>
        <w:tc>
          <w:tcPr>
            <w:tcW w:type="dxa" w:w="2016"/>
            <w:shd w:fill="F8FAFC"/>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8FAFC"/>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FFFFF"/>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Staging Rejection &amp; Error Modal</w:t>
            </w:r>
          </w:p>
          <w:p>
            <w:pPr>
              <w:spacing w:before="30" w:after="30" w:line="252" w:lineRule="auto"/>
            </w:pPr>
            <w:r>
              <w:rPr>
                <w:rFonts w:ascii="Calibri" w:hAnsi="Calibri"/>
                <w:i/>
                <w:color w:val="026AA2"/>
                <w:sz w:val="17"/>
              </w:rPr>
              <w:t>upl-rejected</w:t>
            </w:r>
          </w:p>
          <w:p>
            <w:pPr>
              <w:spacing w:before="30" w:after="30" w:line="252" w:lineRule="auto"/>
            </w:pPr>
            <w:r>
              <w:rPr>
                <w:rFonts w:ascii="Calibri" w:hAnsi="Calibri"/>
                <w:color w:val="475467"/>
                <w:sz w:val="17"/>
              </w:rPr>
              <w:t>Detailed modal displaying row-level parse errors, invalid IFSC codes, duplicate challans, and date format mismatches.</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rev_upload_rejected_row</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Bank Code (LOOKUP_AGENCY_BANK)</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FFFFF"/>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bl>
    <w:p>
      <w:pPr>
        <w:spacing w:before="180" w:after="40"/>
      </w:pPr>
      <w:r>
        <w:rPr>
          <w:rFonts w:ascii="Calibri" w:hAnsi="Calibri"/>
          <w:b/>
          <w:color w:val="026AA2"/>
          <w:sz w:val="22"/>
        </w:rPr>
        <w:t>4. Reconciliation Workbench</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218"/>
        <w:gridCol w:w="2218"/>
        <w:gridCol w:w="2218"/>
        <w:gridCol w:w="2218"/>
        <w:gridCol w:w="2218"/>
      </w:tblGrid>
      <w:tr>
        <w:tc>
          <w:tcPr>
            <w:tcW w:type="dxa" w:w="2880"/>
            <w:shd w:fill="0B2240"/>
            <w:tcMar>
              <w:top w:w="90" w:type="dxa"/>
              <w:bottom w:w="90" w:type="dxa"/>
              <w:left w:w="120" w:type="dxa"/>
              <w:right w:w="120" w:type="dxa"/>
            </w:tcMar>
            <w:vAlign w:val="center"/>
          </w:tcPr>
          <w:p>
            <w:pPr>
              <w:spacing w:before="40" w:after="40"/>
            </w:pPr>
            <w:r>
              <w:rPr>
                <w:rFonts w:ascii="Calibri" w:hAnsi="Calibri"/>
                <w:b/>
                <w:color w:val="FFFFFF"/>
                <w:sz w:val="18"/>
              </w:rPr>
              <w:t>Screen</w:t>
            </w:r>
          </w:p>
        </w:tc>
        <w:tc>
          <w:tcPr>
            <w:tcW w:type="dxa" w:w="2592"/>
            <w:shd w:fill="0B2240"/>
            <w:tcMar>
              <w:top w:w="90" w:type="dxa"/>
              <w:bottom w:w="90" w:type="dxa"/>
              <w:left w:w="120" w:type="dxa"/>
              <w:right w:w="120" w:type="dxa"/>
            </w:tcMar>
            <w:vAlign w:val="center"/>
          </w:tcPr>
          <w:p>
            <w:pPr>
              <w:spacing w:before="40" w:after="40"/>
            </w:pPr>
            <w:r>
              <w:rPr>
                <w:rFonts w:ascii="Calibri" w:hAnsi="Calibri"/>
                <w:b/>
                <w:color w:val="FFFFFF"/>
                <w:sz w:val="18"/>
              </w:rPr>
              <w:t>DB Objects Used</w:t>
            </w:r>
          </w:p>
        </w:tc>
        <w:tc>
          <w:tcPr>
            <w:tcW w:type="dxa" w:w="2592"/>
            <w:shd w:fill="0B2240"/>
            <w:tcMar>
              <w:top w:w="90" w:type="dxa"/>
              <w:bottom w:w="90" w:type="dxa"/>
              <w:left w:w="120" w:type="dxa"/>
              <w:right w:w="120" w:type="dxa"/>
            </w:tcMar>
            <w:vAlign w:val="center"/>
          </w:tcPr>
          <w:p>
            <w:pPr>
              <w:spacing w:before="40" w:after="40"/>
            </w:pPr>
            <w:r>
              <w:rPr>
                <w:rFonts w:ascii="Calibri" w:hAnsi="Calibri"/>
                <w:b/>
                <w:color w:val="FFFFFF"/>
                <w:sz w:val="18"/>
              </w:rPr>
              <w:t>Lookups Used / Dropdown Fields</w:t>
            </w:r>
          </w:p>
        </w:tc>
        <w:tc>
          <w:tcPr>
            <w:tcW w:type="dxa" w:w="2016"/>
            <w:shd w:fill="0B2240"/>
            <w:tcMar>
              <w:top w:w="90" w:type="dxa"/>
              <w:bottom w:w="90" w:type="dxa"/>
              <w:left w:w="120" w:type="dxa"/>
              <w:right w:w="120" w:type="dxa"/>
            </w:tcMar>
            <w:vAlign w:val="center"/>
          </w:tcPr>
          <w:p>
            <w:pPr>
              <w:spacing w:before="40" w:after="40"/>
            </w:pPr>
            <w:r>
              <w:rPr>
                <w:rFonts w:ascii="Calibri" w:hAnsi="Calibri"/>
                <w:b/>
                <w:color w:val="FFFFFF"/>
                <w:sz w:val="18"/>
              </w:rPr>
              <w:t>Missing / Gap DB Objects</w:t>
            </w:r>
          </w:p>
        </w:tc>
        <w:tc>
          <w:tcPr>
            <w:tcW w:type="dxa" w:w="1008"/>
            <w:shd w:fill="0B2240"/>
            <w:tcMar>
              <w:top w:w="90" w:type="dxa"/>
              <w:bottom w:w="90" w:type="dxa"/>
              <w:left w:w="120" w:type="dxa"/>
              <w:right w:w="120" w:type="dxa"/>
            </w:tcMar>
            <w:vAlign w:val="center"/>
          </w:tcPr>
          <w:p>
            <w:pPr>
              <w:spacing w:before="40" w:after="40"/>
            </w:pPr>
            <w:r>
              <w:rPr>
                <w:rFonts w:ascii="Calibri" w:hAnsi="Calibri"/>
                <w:b/>
                <w:color w:val="FFFFFF"/>
                <w:sz w:val="18"/>
              </w:rPr>
              <w:t>Status</w:t>
            </w:r>
          </w:p>
        </w:tc>
      </w:tr>
      <w:tr>
        <w:tc>
          <w:tcPr>
            <w:tcW w:type="dxa" w:w="2880"/>
            <w:shd w:fill="FFFFFF"/>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3-Way Multi-Leg Reconciliation Grid</w:t>
            </w:r>
          </w:p>
          <w:p>
            <w:pPr>
              <w:spacing w:before="30" w:after="30" w:line="252" w:lineRule="auto"/>
            </w:pPr>
            <w:r>
              <w:rPr>
                <w:rFonts w:ascii="Calibri" w:hAnsi="Calibri"/>
                <w:i/>
                <w:color w:val="026AA2"/>
                <w:sz w:val="17"/>
              </w:rPr>
              <w:t>recon-grid</w:t>
            </w:r>
          </w:p>
          <w:p>
            <w:pPr>
              <w:spacing w:before="30" w:after="30" w:line="252" w:lineRule="auto"/>
            </w:pPr>
            <w:r>
              <w:rPr>
                <w:rFonts w:ascii="Calibri" w:hAnsi="Calibri"/>
                <w:color w:val="475467"/>
                <w:sz w:val="17"/>
              </w:rPr>
              <w:t>Core reconciliation matrix displaying 3 legs (Portal Staging, Bank Scroll, RBI Luggage) with difference, SLA delay days, penal interest, and status badges.</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rev_recon_result; rev_portal_transaction_staging; rev_agency_bank_scroll_staging; rev_rbi_luggage_staging; rev_sla_rule</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Match Status (LOOKUP_MATCH_STATUS -&gt; ['Matched', 'Pending', 'Suspend', 'RAT', 'Mismatch', 'Duplicate']); Revenue Source (LOOKUP_REVENUE_SOURCE); Department (LOOKUP_DEPARTMENT); PAO (LOOKUP_PAO)</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FFFFF"/>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8FAFC"/>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3-Way Details Modal (Open)</w:t>
            </w:r>
          </w:p>
          <w:p>
            <w:pPr>
              <w:spacing w:before="30" w:after="30" w:line="252" w:lineRule="auto"/>
            </w:pPr>
            <w:r>
              <w:rPr>
                <w:rFonts w:ascii="Calibri" w:hAnsi="Calibri"/>
                <w:i/>
                <w:color w:val="026AA2"/>
                <w:sz w:val="17"/>
              </w:rPr>
              <w:t>recon-open</w:t>
            </w:r>
          </w:p>
          <w:p>
            <w:pPr>
              <w:spacing w:before="30" w:after="30" w:line="252" w:lineRule="auto"/>
            </w:pPr>
            <w:r>
              <w:rPr>
                <w:rFonts w:ascii="Calibri" w:hAnsi="Calibri"/>
                <w:color w:val="475467"/>
                <w:sz w:val="17"/>
              </w:rPr>
              <w:t>Side-by-side comparison modal showing Portal attributes, Bank Scroll metadata, RBI credit, date variance, and match history.</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rev_recon_result; rev_recon_leg_linkage; rev_sla_rule</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Match Status (LOOKUP_MATCH_STATUS); Payment Mode (LOOKUP_PAYMENT_MODE)</w:t>
            </w:r>
          </w:p>
        </w:tc>
        <w:tc>
          <w:tcPr>
            <w:tcW w:type="dxa" w:w="2016"/>
            <w:shd w:fill="F8FAFC"/>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8FAFC"/>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FFFFF"/>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Discrepancy Trace &amp; Timeline Modal (Trace)</w:t>
            </w:r>
          </w:p>
          <w:p>
            <w:pPr>
              <w:spacing w:before="30" w:after="30" w:line="252" w:lineRule="auto"/>
            </w:pPr>
            <w:r>
              <w:rPr>
                <w:rFonts w:ascii="Calibri" w:hAnsi="Calibri"/>
                <w:i/>
                <w:color w:val="026AA2"/>
                <w:sz w:val="17"/>
              </w:rPr>
              <w:t>recon-trace</w:t>
            </w:r>
          </w:p>
          <w:p>
            <w:pPr>
              <w:spacing w:before="30" w:after="30" w:line="252" w:lineRule="auto"/>
            </w:pPr>
            <w:r>
              <w:rPr>
                <w:rFonts w:ascii="Calibri" w:hAnsi="Calibri"/>
                <w:color w:val="475467"/>
                <w:sz w:val="17"/>
              </w:rPr>
              <w:t>Visual 3-node matching pipeline (Portal -&gt; Bank Scroll -&gt; RBI Luggage) with interactive audit timeline, user actions, raw payload UTR, and scroll attributes.</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rev_recon_result; rev_recon_leg_linkage; audit_change_log; app_user</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Match Status (LOOKUP_MATCH_STATUS); CDC Operation (LOOKUP_CDC_OPERATION)</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FFFFF"/>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8FAFC"/>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Solve Discrepancy Modal (Solve)</w:t>
            </w:r>
          </w:p>
          <w:p>
            <w:pPr>
              <w:spacing w:before="30" w:after="30" w:line="252" w:lineRule="auto"/>
            </w:pPr>
            <w:r>
              <w:rPr>
                <w:rFonts w:ascii="Calibri" w:hAnsi="Calibri"/>
                <w:i/>
                <w:color w:val="026AA2"/>
                <w:sz w:val="17"/>
              </w:rPr>
              <w:t>recon-solve</w:t>
            </w:r>
          </w:p>
          <w:p>
            <w:pPr>
              <w:spacing w:before="30" w:after="30" w:line="252" w:lineRule="auto"/>
            </w:pPr>
            <w:r>
              <w:rPr>
                <w:rFonts w:ascii="Calibri" w:hAnsi="Calibri"/>
                <w:color w:val="475467"/>
                <w:sz w:val="17"/>
              </w:rPr>
              <w:t>4 resolution strategies: Manual Match Override, Post to Suspense (8658-102/101), Mark Resolved, Issue Bank Notice with auto Reference No (RES-YYYYMMDD-XXXXXX).</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rev_recon_result; rev_recon_override; rev_suspense_register; rev_exception; audit_change_log; rev_system_notifications</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Resolution Strategy (LOOKUP_RESOLUTION_STRATEGY -&gt; ['MANUAL_MATCH', 'POST_TO_SUSPENSE', 'ADMIN_CLEAR', 'ISSUE_NOTICE']); Match Status (LOOKUP_MATCH_STATUS); Booking Status (LOOKUP_BOOKING_STATUS)</w:t>
            </w:r>
          </w:p>
        </w:tc>
        <w:tc>
          <w:tcPr>
            <w:tcW w:type="dxa" w:w="2016"/>
            <w:shd w:fill="F8FAFC"/>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8FAFC"/>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FFFFF"/>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Official Bank Discrepancy Letter Modal (Letter)</w:t>
            </w:r>
          </w:p>
          <w:p>
            <w:pPr>
              <w:spacing w:before="30" w:after="30" w:line="252" w:lineRule="auto"/>
            </w:pPr>
            <w:r>
              <w:rPr>
                <w:rFonts w:ascii="Calibri" w:hAnsi="Calibri"/>
                <w:i/>
                <w:color w:val="026AA2"/>
                <w:sz w:val="17"/>
              </w:rPr>
              <w:t>recon-letter</w:t>
            </w:r>
          </w:p>
          <w:p>
            <w:pPr>
              <w:spacing w:before="30" w:after="30" w:line="252" w:lineRule="auto"/>
            </w:pPr>
            <w:r>
              <w:rPr>
                <w:rFonts w:ascii="Calibri" w:hAnsi="Calibri"/>
                <w:color w:val="475467"/>
                <w:sz w:val="17"/>
              </w:rPr>
              <w:t>Official government discrepancy letter generator with auto Letter No (LTR-DISC-YYYYMMDD-XXXXXX), agency bank recipient selector, statutory recovery clause, and print stylesheet.</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rev_exception_letter; rev_recon_result; agency_bank; document_number_sequence</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Recipient Bank (LOOKUP_AGENCY_BANK); Exception Category (LOOKUP_EXCEPTION_CATEGORY -&gt; ['AMOUNT_MISMATCH', 'UNREMITTED_CHALLAN', 'DUPLICATE_SCROLL'])</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FFFFF"/>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8FAFC"/>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Automated 3-Way Match Algorithm</w:t>
            </w:r>
          </w:p>
          <w:p>
            <w:pPr>
              <w:spacing w:before="30" w:after="30" w:line="252" w:lineRule="auto"/>
            </w:pPr>
            <w:r>
              <w:rPr>
                <w:rFonts w:ascii="Calibri" w:hAnsi="Calibri"/>
                <w:i/>
                <w:color w:val="026AA2"/>
                <w:sz w:val="17"/>
              </w:rPr>
              <w:t>recon-run</w:t>
            </w:r>
          </w:p>
          <w:p>
            <w:pPr>
              <w:spacing w:before="30" w:after="30" w:line="252" w:lineRule="auto"/>
            </w:pPr>
            <w:r>
              <w:rPr>
                <w:rFonts w:ascii="Calibri" w:hAnsi="Calibri"/>
                <w:color w:val="475467"/>
                <w:sz w:val="17"/>
              </w:rPr>
              <w:t>Batch reconciliation engine executing rule-based matching with date/amount tolerance across all staged transactions.</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rev_recon_run; ReconEngine.run_matching_batch; rev_sla_rule</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Revenue Source (LOOKUP_REVENUE_SOURCE)</w:t>
            </w:r>
          </w:p>
        </w:tc>
        <w:tc>
          <w:tcPr>
            <w:tcW w:type="dxa" w:w="2016"/>
            <w:shd w:fill="F8FAFC"/>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8FAFC"/>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bl>
    <w:p>
      <w:pPr>
        <w:spacing w:before="180" w:after="40"/>
      </w:pPr>
      <w:r>
        <w:rPr>
          <w:rFonts w:ascii="Calibri" w:hAnsi="Calibri"/>
          <w:b/>
          <w:color w:val="026AA2"/>
          <w:sz w:val="22"/>
        </w:rPr>
        <w:t>5. Exceptions &amp; Investigation Management</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218"/>
        <w:gridCol w:w="2218"/>
        <w:gridCol w:w="2218"/>
        <w:gridCol w:w="2218"/>
        <w:gridCol w:w="2218"/>
      </w:tblGrid>
      <w:tr>
        <w:tc>
          <w:tcPr>
            <w:tcW w:type="dxa" w:w="2880"/>
            <w:shd w:fill="0B2240"/>
            <w:tcMar>
              <w:top w:w="90" w:type="dxa"/>
              <w:bottom w:w="90" w:type="dxa"/>
              <w:left w:w="120" w:type="dxa"/>
              <w:right w:w="120" w:type="dxa"/>
            </w:tcMar>
            <w:vAlign w:val="center"/>
          </w:tcPr>
          <w:p>
            <w:pPr>
              <w:spacing w:before="40" w:after="40"/>
            </w:pPr>
            <w:r>
              <w:rPr>
                <w:rFonts w:ascii="Calibri" w:hAnsi="Calibri"/>
                <w:b/>
                <w:color w:val="FFFFFF"/>
                <w:sz w:val="18"/>
              </w:rPr>
              <w:t>Screen</w:t>
            </w:r>
          </w:p>
        </w:tc>
        <w:tc>
          <w:tcPr>
            <w:tcW w:type="dxa" w:w="2592"/>
            <w:shd w:fill="0B2240"/>
            <w:tcMar>
              <w:top w:w="90" w:type="dxa"/>
              <w:bottom w:w="90" w:type="dxa"/>
              <w:left w:w="120" w:type="dxa"/>
              <w:right w:w="120" w:type="dxa"/>
            </w:tcMar>
            <w:vAlign w:val="center"/>
          </w:tcPr>
          <w:p>
            <w:pPr>
              <w:spacing w:before="40" w:after="40"/>
            </w:pPr>
            <w:r>
              <w:rPr>
                <w:rFonts w:ascii="Calibri" w:hAnsi="Calibri"/>
                <w:b/>
                <w:color w:val="FFFFFF"/>
                <w:sz w:val="18"/>
              </w:rPr>
              <w:t>DB Objects Used</w:t>
            </w:r>
          </w:p>
        </w:tc>
        <w:tc>
          <w:tcPr>
            <w:tcW w:type="dxa" w:w="2592"/>
            <w:shd w:fill="0B2240"/>
            <w:tcMar>
              <w:top w:w="90" w:type="dxa"/>
              <w:bottom w:w="90" w:type="dxa"/>
              <w:left w:w="120" w:type="dxa"/>
              <w:right w:w="120" w:type="dxa"/>
            </w:tcMar>
            <w:vAlign w:val="center"/>
          </w:tcPr>
          <w:p>
            <w:pPr>
              <w:spacing w:before="40" w:after="40"/>
            </w:pPr>
            <w:r>
              <w:rPr>
                <w:rFonts w:ascii="Calibri" w:hAnsi="Calibri"/>
                <w:b/>
                <w:color w:val="FFFFFF"/>
                <w:sz w:val="18"/>
              </w:rPr>
              <w:t>Lookups Used / Dropdown Fields</w:t>
            </w:r>
          </w:p>
        </w:tc>
        <w:tc>
          <w:tcPr>
            <w:tcW w:type="dxa" w:w="2016"/>
            <w:shd w:fill="0B2240"/>
            <w:tcMar>
              <w:top w:w="90" w:type="dxa"/>
              <w:bottom w:w="90" w:type="dxa"/>
              <w:left w:w="120" w:type="dxa"/>
              <w:right w:w="120" w:type="dxa"/>
            </w:tcMar>
            <w:vAlign w:val="center"/>
          </w:tcPr>
          <w:p>
            <w:pPr>
              <w:spacing w:before="40" w:after="40"/>
            </w:pPr>
            <w:r>
              <w:rPr>
                <w:rFonts w:ascii="Calibri" w:hAnsi="Calibri"/>
                <w:b/>
                <w:color w:val="FFFFFF"/>
                <w:sz w:val="18"/>
              </w:rPr>
              <w:t>Missing / Gap DB Objects</w:t>
            </w:r>
          </w:p>
        </w:tc>
        <w:tc>
          <w:tcPr>
            <w:tcW w:type="dxa" w:w="1008"/>
            <w:shd w:fill="0B2240"/>
            <w:tcMar>
              <w:top w:w="90" w:type="dxa"/>
              <w:bottom w:w="90" w:type="dxa"/>
              <w:left w:w="120" w:type="dxa"/>
              <w:right w:w="120" w:type="dxa"/>
            </w:tcMar>
            <w:vAlign w:val="center"/>
          </w:tcPr>
          <w:p>
            <w:pPr>
              <w:spacing w:before="40" w:after="40"/>
            </w:pPr>
            <w:r>
              <w:rPr>
                <w:rFonts w:ascii="Calibri" w:hAnsi="Calibri"/>
                <w:b/>
                <w:color w:val="FFFFFF"/>
                <w:sz w:val="18"/>
              </w:rPr>
              <w:t>Status</w:t>
            </w:r>
          </w:p>
        </w:tc>
      </w:tr>
      <w:tr>
        <w:tc>
          <w:tcPr>
            <w:tcW w:type="dxa" w:w="2880"/>
            <w:shd w:fill="FFFFFF"/>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Exceptions Categorization &amp; Aging Grid</w:t>
            </w:r>
          </w:p>
          <w:p>
            <w:pPr>
              <w:spacing w:before="30" w:after="30" w:line="252" w:lineRule="auto"/>
            </w:pPr>
            <w:r>
              <w:rPr>
                <w:rFonts w:ascii="Calibri" w:hAnsi="Calibri"/>
                <w:i/>
                <w:color w:val="026AA2"/>
                <w:sz w:val="17"/>
              </w:rPr>
              <w:t>exc-grid</w:t>
            </w:r>
          </w:p>
          <w:p>
            <w:pPr>
              <w:spacing w:before="30" w:after="30" w:line="252" w:lineRule="auto"/>
            </w:pPr>
            <w:r>
              <w:rPr>
                <w:rFonts w:ascii="Calibri" w:hAnsi="Calibri"/>
                <w:color w:val="475467"/>
                <w:sz w:val="17"/>
              </w:rPr>
              <w:t>Exceptions list categorized by Amount Mismatch, Unremitted Challan, Duplicate Scroll, Orphan Bank Credit (RAT), SLA Breach, Cheque Delay with aging tabs (&lt;3d, 3-7d, &gt;7d).</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rev_exception; rev_recon_result; app_user</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Category (LOOKUP_EXCEPTION_CATEGORY); Severity (LOOKUP_SEVERITY -&gt; ['Critical', 'High', 'Medium', 'Low']); Status (LOOKUP_EXCEPTION_STATUS -&gt; ['Open', 'Assigned', 'Escalated', 'Resolved', 'Closed']); Ownership (LOOKUP_OWNERSHIP -&gt; ['BANK', 'PAO', 'DEPT', 'TREASURY'])</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FFFFF"/>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8FAFC"/>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Investigation Detail &amp; Timeline Drawer</w:t>
            </w:r>
          </w:p>
          <w:p>
            <w:pPr>
              <w:spacing w:before="30" w:after="30" w:line="252" w:lineRule="auto"/>
            </w:pPr>
            <w:r>
              <w:rPr>
                <w:rFonts w:ascii="Calibri" w:hAnsi="Calibri"/>
                <w:i/>
                <w:color w:val="026AA2"/>
                <w:sz w:val="17"/>
              </w:rPr>
              <w:t>exc-drawer</w:t>
            </w:r>
          </w:p>
          <w:p>
            <w:pPr>
              <w:spacing w:before="30" w:after="30" w:line="252" w:lineRule="auto"/>
            </w:pPr>
            <w:r>
              <w:rPr>
                <w:rFonts w:ascii="Calibri" w:hAnsi="Calibri"/>
                <w:color w:val="475467"/>
                <w:sz w:val="17"/>
              </w:rPr>
              <w:t>Slide-out investigation dossier showing exception history, officer findings, linked challan details, internal notes, and CDC audit trail.</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rev_exception; rev_exception_note; audit_change_log; app_user</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Exception Status (LOOKUP_EXCEPTION_STATUS); Ownership (LOOKUP_OWNERSHIP)</w:t>
            </w:r>
          </w:p>
        </w:tc>
        <w:tc>
          <w:tcPr>
            <w:tcW w:type="dxa" w:w="2016"/>
            <w:shd w:fill="F8FAFC"/>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8FAFC"/>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FFFFF"/>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Investigation Notes &amp; Escalation Form</w:t>
            </w:r>
          </w:p>
          <w:p>
            <w:pPr>
              <w:spacing w:before="30" w:after="30" w:line="252" w:lineRule="auto"/>
            </w:pPr>
            <w:r>
              <w:rPr>
                <w:rFonts w:ascii="Calibri" w:hAnsi="Calibri"/>
                <w:i/>
                <w:color w:val="026AA2"/>
                <w:sz w:val="17"/>
              </w:rPr>
              <w:t>exc-action</w:t>
            </w:r>
          </w:p>
          <w:p>
            <w:pPr>
              <w:spacing w:before="30" w:after="30" w:line="252" w:lineRule="auto"/>
            </w:pPr>
            <w:r>
              <w:rPr>
                <w:rFonts w:ascii="Calibri" w:hAnsi="Calibri"/>
                <w:color w:val="475467"/>
                <w:sz w:val="17"/>
              </w:rPr>
              <w:t>Form to log officer case notes or escalate overdue bank discrepancies to Nodal Officers with automated notification dispatch.</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rev_exception_note; rev_exception; rev_system_notifications</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Severity (LOOKUP_SEVERITY); Target Role (LOOKUP_USER_ROLE)</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FFFFF"/>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bl>
    <w:p>
      <w:pPr>
        <w:spacing w:before="180" w:after="40"/>
      </w:pPr>
      <w:r>
        <w:rPr>
          <w:rFonts w:ascii="Calibri" w:hAnsi="Calibri"/>
          <w:b/>
          <w:color w:val="026AA2"/>
          <w:sz w:val="22"/>
        </w:rPr>
        <w:t>6. Bank SLA Monitoring &amp; Penal Interest</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218"/>
        <w:gridCol w:w="2218"/>
        <w:gridCol w:w="2218"/>
        <w:gridCol w:w="2218"/>
        <w:gridCol w:w="2218"/>
      </w:tblGrid>
      <w:tr>
        <w:tc>
          <w:tcPr>
            <w:tcW w:type="dxa" w:w="2880"/>
            <w:shd w:fill="0B2240"/>
            <w:tcMar>
              <w:top w:w="90" w:type="dxa"/>
              <w:bottom w:w="90" w:type="dxa"/>
              <w:left w:w="120" w:type="dxa"/>
              <w:right w:w="120" w:type="dxa"/>
            </w:tcMar>
            <w:vAlign w:val="center"/>
          </w:tcPr>
          <w:p>
            <w:pPr>
              <w:spacing w:before="40" w:after="40"/>
            </w:pPr>
            <w:r>
              <w:rPr>
                <w:rFonts w:ascii="Calibri" w:hAnsi="Calibri"/>
                <w:b/>
                <w:color w:val="FFFFFF"/>
                <w:sz w:val="18"/>
              </w:rPr>
              <w:t>Screen</w:t>
            </w:r>
          </w:p>
        </w:tc>
        <w:tc>
          <w:tcPr>
            <w:tcW w:type="dxa" w:w="2592"/>
            <w:shd w:fill="0B2240"/>
            <w:tcMar>
              <w:top w:w="90" w:type="dxa"/>
              <w:bottom w:w="90" w:type="dxa"/>
              <w:left w:w="120" w:type="dxa"/>
              <w:right w:w="120" w:type="dxa"/>
            </w:tcMar>
            <w:vAlign w:val="center"/>
          </w:tcPr>
          <w:p>
            <w:pPr>
              <w:spacing w:before="40" w:after="40"/>
            </w:pPr>
            <w:r>
              <w:rPr>
                <w:rFonts w:ascii="Calibri" w:hAnsi="Calibri"/>
                <w:b/>
                <w:color w:val="FFFFFF"/>
                <w:sz w:val="18"/>
              </w:rPr>
              <w:t>DB Objects Used</w:t>
            </w:r>
          </w:p>
        </w:tc>
        <w:tc>
          <w:tcPr>
            <w:tcW w:type="dxa" w:w="2592"/>
            <w:shd w:fill="0B2240"/>
            <w:tcMar>
              <w:top w:w="90" w:type="dxa"/>
              <w:bottom w:w="90" w:type="dxa"/>
              <w:left w:w="120" w:type="dxa"/>
              <w:right w:w="120" w:type="dxa"/>
            </w:tcMar>
            <w:vAlign w:val="center"/>
          </w:tcPr>
          <w:p>
            <w:pPr>
              <w:spacing w:before="40" w:after="40"/>
            </w:pPr>
            <w:r>
              <w:rPr>
                <w:rFonts w:ascii="Calibri" w:hAnsi="Calibri"/>
                <w:b/>
                <w:color w:val="FFFFFF"/>
                <w:sz w:val="18"/>
              </w:rPr>
              <w:t>Lookups Used / Dropdown Fields</w:t>
            </w:r>
          </w:p>
        </w:tc>
        <w:tc>
          <w:tcPr>
            <w:tcW w:type="dxa" w:w="2016"/>
            <w:shd w:fill="0B2240"/>
            <w:tcMar>
              <w:top w:w="90" w:type="dxa"/>
              <w:bottom w:w="90" w:type="dxa"/>
              <w:left w:w="120" w:type="dxa"/>
              <w:right w:w="120" w:type="dxa"/>
            </w:tcMar>
            <w:vAlign w:val="center"/>
          </w:tcPr>
          <w:p>
            <w:pPr>
              <w:spacing w:before="40" w:after="40"/>
            </w:pPr>
            <w:r>
              <w:rPr>
                <w:rFonts w:ascii="Calibri" w:hAnsi="Calibri"/>
                <w:b/>
                <w:color w:val="FFFFFF"/>
                <w:sz w:val="18"/>
              </w:rPr>
              <w:t>Missing / Gap DB Objects</w:t>
            </w:r>
          </w:p>
        </w:tc>
        <w:tc>
          <w:tcPr>
            <w:tcW w:type="dxa" w:w="1008"/>
            <w:shd w:fill="0B2240"/>
            <w:tcMar>
              <w:top w:w="90" w:type="dxa"/>
              <w:bottom w:w="90" w:type="dxa"/>
              <w:left w:w="120" w:type="dxa"/>
              <w:right w:w="120" w:type="dxa"/>
            </w:tcMar>
            <w:vAlign w:val="center"/>
          </w:tcPr>
          <w:p>
            <w:pPr>
              <w:spacing w:before="40" w:after="40"/>
            </w:pPr>
            <w:r>
              <w:rPr>
                <w:rFonts w:ascii="Calibri" w:hAnsi="Calibri"/>
                <w:b/>
                <w:color w:val="FFFFFF"/>
                <w:sz w:val="18"/>
              </w:rPr>
              <w:t>Status</w:t>
            </w:r>
          </w:p>
        </w:tc>
      </w:tr>
      <w:tr>
        <w:tc>
          <w:tcPr>
            <w:tcW w:type="dxa" w:w="2880"/>
            <w:shd w:fill="FFFFFF"/>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Agency Bank SLA Compliance Matrix</w:t>
            </w:r>
          </w:p>
          <w:p>
            <w:pPr>
              <w:spacing w:before="30" w:after="30" w:line="252" w:lineRule="auto"/>
            </w:pPr>
            <w:r>
              <w:rPr>
                <w:rFonts w:ascii="Calibri" w:hAnsi="Calibri"/>
                <w:i/>
                <w:color w:val="026AA2"/>
                <w:sz w:val="17"/>
              </w:rPr>
              <w:t>sla-matrix</w:t>
            </w:r>
          </w:p>
          <w:p>
            <w:pPr>
              <w:spacing w:before="30" w:after="30" w:line="252" w:lineRule="auto"/>
            </w:pPr>
            <w:r>
              <w:rPr>
                <w:rFonts w:ascii="Calibri" w:hAnsi="Calibri"/>
                <w:color w:val="475467"/>
                <w:sz w:val="17"/>
              </w:rPr>
              <w:t>Performance scorecard tracking agency bank on-time remittance percentages, average delay days, and SLA breach counts against T+1 / T+2 rules.</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rev_vw_bank_sla_performance; rev_sla_rule; agency_bank</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Agency Bank (LOOKUP_AGENCY_BANK); Payment Mode (LOOKUP_PAYMENT_MODE)</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FFFFF"/>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8FAFC"/>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Penal Interest Claim Register</w:t>
            </w:r>
          </w:p>
          <w:p>
            <w:pPr>
              <w:spacing w:before="30" w:after="30" w:line="252" w:lineRule="auto"/>
            </w:pPr>
            <w:r>
              <w:rPr>
                <w:rFonts w:ascii="Calibri" w:hAnsi="Calibri"/>
                <w:i/>
                <w:color w:val="026AA2"/>
                <w:sz w:val="17"/>
              </w:rPr>
              <w:t>sla-claims</w:t>
            </w:r>
          </w:p>
          <w:p>
            <w:pPr>
              <w:spacing w:before="30" w:after="30" w:line="252" w:lineRule="auto"/>
            </w:pPr>
            <w:r>
              <w:rPr>
                <w:rFonts w:ascii="Calibri" w:hAnsi="Calibri"/>
                <w:color w:val="475467"/>
                <w:sz w:val="17"/>
              </w:rPr>
              <w:t>Register of accrued penal interest claims (CLM-YYYYMMDD-XXXXXX) with delay days, principal remittance, calculated penal interest (12% p.a.), and recovery status.</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rev_penal_claim; rev_recon_result; agency_bank</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Recovery Status (LOOKUP_PENAL_RECOVERY_STATUS -&gt; ['DEMAND_ISSUED', 'RECOVERED', 'DISPUTED', 'WAIVED', 'PENDING_REVIEW']); Agency Bank (LOOKUP_AGENCY_BANK)</w:t>
            </w:r>
          </w:p>
        </w:tc>
        <w:tc>
          <w:tcPr>
            <w:tcW w:type="dxa" w:w="2016"/>
            <w:shd w:fill="F8FAFC"/>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8FAFC"/>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FFFFF"/>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Penal Demand Notice Modal &amp; Print Generator</w:t>
            </w:r>
          </w:p>
          <w:p>
            <w:pPr>
              <w:spacing w:before="30" w:after="30" w:line="252" w:lineRule="auto"/>
            </w:pPr>
            <w:r>
              <w:rPr>
                <w:rFonts w:ascii="Calibri" w:hAnsi="Calibri"/>
                <w:i/>
                <w:color w:val="026AA2"/>
                <w:sz w:val="17"/>
              </w:rPr>
              <w:t>sla-notice</w:t>
            </w:r>
          </w:p>
          <w:p>
            <w:pPr>
              <w:spacing w:before="30" w:after="30" w:line="252" w:lineRule="auto"/>
            </w:pPr>
            <w:r>
              <w:rPr>
                <w:rFonts w:ascii="Calibri" w:hAnsi="Calibri"/>
                <w:color w:val="475467"/>
                <w:sz w:val="17"/>
              </w:rPr>
              <w:t>Official penal interest demand letter generator (LTR-PENAL-YYYYMMDD-XXXXXX) with statutory interest calculation matrix and bank dispatch action.</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rev_penal_letter; rev_penal_claim; document_number_sequence</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Agency Bank (LOOKUP_AGENCY_BANK)</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FFFFF"/>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8FAFC"/>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Bank Dispute &amp; Waiver Processing Modal</w:t>
            </w:r>
          </w:p>
          <w:p>
            <w:pPr>
              <w:spacing w:before="30" w:after="30" w:line="252" w:lineRule="auto"/>
            </w:pPr>
            <w:r>
              <w:rPr>
                <w:rFonts w:ascii="Calibri" w:hAnsi="Calibri"/>
                <w:i/>
                <w:color w:val="026AA2"/>
                <w:sz w:val="17"/>
              </w:rPr>
              <w:t>sla-waiver</w:t>
            </w:r>
          </w:p>
          <w:p>
            <w:pPr>
              <w:spacing w:before="30" w:after="30" w:line="252" w:lineRule="auto"/>
            </w:pPr>
            <w:r>
              <w:rPr>
                <w:rFonts w:ascii="Calibri" w:hAnsi="Calibri"/>
                <w:color w:val="475467"/>
                <w:sz w:val="17"/>
              </w:rPr>
              <w:t>Form to record bank dispute justification or government waiver sanction order with financial concurrence.</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rev_penal_bank_response; rev_penal_waiver; rev_penal_claim</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Recovery Status (LOOKUP_PENAL_RECOVERY_STATUS); Approver Role (LOOKUP_USER_ROLE)</w:t>
            </w:r>
          </w:p>
        </w:tc>
        <w:tc>
          <w:tcPr>
            <w:tcW w:type="dxa" w:w="2016"/>
            <w:shd w:fill="F8FAFC"/>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8FAFC"/>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bl>
    <w:p>
      <w:pPr>
        <w:spacing w:before="180" w:after="40"/>
      </w:pPr>
      <w:r>
        <w:rPr>
          <w:rFonts w:ascii="Calibri" w:hAnsi="Calibri"/>
          <w:b/>
          <w:color w:val="026AA2"/>
          <w:sz w:val="22"/>
        </w:rPr>
        <w:t>7. Citizen Revenue Refund Management</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218"/>
        <w:gridCol w:w="2218"/>
        <w:gridCol w:w="2218"/>
        <w:gridCol w:w="2218"/>
        <w:gridCol w:w="2218"/>
      </w:tblGrid>
      <w:tr>
        <w:tc>
          <w:tcPr>
            <w:tcW w:type="dxa" w:w="2880"/>
            <w:shd w:fill="0B2240"/>
            <w:tcMar>
              <w:top w:w="90" w:type="dxa"/>
              <w:bottom w:w="90" w:type="dxa"/>
              <w:left w:w="120" w:type="dxa"/>
              <w:right w:w="120" w:type="dxa"/>
            </w:tcMar>
            <w:vAlign w:val="center"/>
          </w:tcPr>
          <w:p>
            <w:pPr>
              <w:spacing w:before="40" w:after="40"/>
            </w:pPr>
            <w:r>
              <w:rPr>
                <w:rFonts w:ascii="Calibri" w:hAnsi="Calibri"/>
                <w:b/>
                <w:color w:val="FFFFFF"/>
                <w:sz w:val="18"/>
              </w:rPr>
              <w:t>Screen</w:t>
            </w:r>
          </w:p>
        </w:tc>
        <w:tc>
          <w:tcPr>
            <w:tcW w:type="dxa" w:w="2592"/>
            <w:shd w:fill="0B2240"/>
            <w:tcMar>
              <w:top w:w="90" w:type="dxa"/>
              <w:bottom w:w="90" w:type="dxa"/>
              <w:left w:w="120" w:type="dxa"/>
              <w:right w:w="120" w:type="dxa"/>
            </w:tcMar>
            <w:vAlign w:val="center"/>
          </w:tcPr>
          <w:p>
            <w:pPr>
              <w:spacing w:before="40" w:after="40"/>
            </w:pPr>
            <w:r>
              <w:rPr>
                <w:rFonts w:ascii="Calibri" w:hAnsi="Calibri"/>
                <w:b/>
                <w:color w:val="FFFFFF"/>
                <w:sz w:val="18"/>
              </w:rPr>
              <w:t>DB Objects Used</w:t>
            </w:r>
          </w:p>
        </w:tc>
        <w:tc>
          <w:tcPr>
            <w:tcW w:type="dxa" w:w="2592"/>
            <w:shd w:fill="0B2240"/>
            <w:tcMar>
              <w:top w:w="90" w:type="dxa"/>
              <w:bottom w:w="90" w:type="dxa"/>
              <w:left w:w="120" w:type="dxa"/>
              <w:right w:w="120" w:type="dxa"/>
            </w:tcMar>
            <w:vAlign w:val="center"/>
          </w:tcPr>
          <w:p>
            <w:pPr>
              <w:spacing w:before="40" w:after="40"/>
            </w:pPr>
            <w:r>
              <w:rPr>
                <w:rFonts w:ascii="Calibri" w:hAnsi="Calibri"/>
                <w:b/>
                <w:color w:val="FFFFFF"/>
                <w:sz w:val="18"/>
              </w:rPr>
              <w:t>Lookups Used / Dropdown Fields</w:t>
            </w:r>
          </w:p>
        </w:tc>
        <w:tc>
          <w:tcPr>
            <w:tcW w:type="dxa" w:w="2016"/>
            <w:shd w:fill="0B2240"/>
            <w:tcMar>
              <w:top w:w="90" w:type="dxa"/>
              <w:bottom w:w="90" w:type="dxa"/>
              <w:left w:w="120" w:type="dxa"/>
              <w:right w:w="120" w:type="dxa"/>
            </w:tcMar>
            <w:vAlign w:val="center"/>
          </w:tcPr>
          <w:p>
            <w:pPr>
              <w:spacing w:before="40" w:after="40"/>
            </w:pPr>
            <w:r>
              <w:rPr>
                <w:rFonts w:ascii="Calibri" w:hAnsi="Calibri"/>
                <w:b/>
                <w:color w:val="FFFFFF"/>
                <w:sz w:val="18"/>
              </w:rPr>
              <w:t>Missing / Gap DB Objects</w:t>
            </w:r>
          </w:p>
        </w:tc>
        <w:tc>
          <w:tcPr>
            <w:tcW w:type="dxa" w:w="1008"/>
            <w:shd w:fill="0B2240"/>
            <w:tcMar>
              <w:top w:w="90" w:type="dxa"/>
              <w:bottom w:w="90" w:type="dxa"/>
              <w:left w:w="120" w:type="dxa"/>
              <w:right w:w="120" w:type="dxa"/>
            </w:tcMar>
            <w:vAlign w:val="center"/>
          </w:tcPr>
          <w:p>
            <w:pPr>
              <w:spacing w:before="40" w:after="40"/>
            </w:pPr>
            <w:r>
              <w:rPr>
                <w:rFonts w:ascii="Calibri" w:hAnsi="Calibri"/>
                <w:b/>
                <w:color w:val="FFFFFF"/>
                <w:sz w:val="18"/>
              </w:rPr>
              <w:t>Status</w:t>
            </w:r>
          </w:p>
        </w:tc>
      </w:tr>
      <w:tr>
        <w:tc>
          <w:tcPr>
            <w:tcW w:type="dxa" w:w="2880"/>
            <w:shd w:fill="FFFFFF"/>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4-Stage Citizen Refund Register</w:t>
            </w:r>
          </w:p>
          <w:p>
            <w:pPr>
              <w:spacing w:before="30" w:after="30" w:line="252" w:lineRule="auto"/>
            </w:pPr>
            <w:r>
              <w:rPr>
                <w:rFonts w:ascii="Calibri" w:hAnsi="Calibri"/>
                <w:i/>
                <w:color w:val="026AA2"/>
                <w:sz w:val="17"/>
              </w:rPr>
              <w:t>ref-register</w:t>
            </w:r>
          </w:p>
          <w:p>
            <w:pPr>
              <w:spacing w:before="30" w:after="30" w:line="252" w:lineRule="auto"/>
            </w:pPr>
            <w:r>
              <w:rPr>
                <w:rFonts w:ascii="Calibri" w:hAnsi="Calibri"/>
                <w:color w:val="475467"/>
                <w:sz w:val="17"/>
              </w:rPr>
              <w:t>4-stage maker-checker refund case register (REF-YYYYMMDD-XXXXXX) with applicant details, bank account/IFSC, original challan, claimed vs verified amount, and stage tracking.</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rev_refund_case; rev_recon_result; app_user</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Current Stage (LOOKUP_REFUND_STAGE -&gt; ['DEPT_SCRUTINY', 'AUDIT_SANCTION', 'PAO_APPROVAL', 'DISBURSED', 'REJECTED']); Refund Type (LOOKUP_REFUND_TYPE -&gt; ['DOUBLE_PAYMENT', 'EXCESS_DEPOSIT', 'SERVICE_CANCELLED', 'COURT_ORDER'])</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FFFFF"/>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8FAFC"/>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Department Challan Scrutiny Modal</w:t>
            </w:r>
          </w:p>
          <w:p>
            <w:pPr>
              <w:spacing w:before="30" w:after="30" w:line="252" w:lineRule="auto"/>
            </w:pPr>
            <w:r>
              <w:rPr>
                <w:rFonts w:ascii="Calibri" w:hAnsi="Calibri"/>
                <w:i/>
                <w:color w:val="026AA2"/>
                <w:sz w:val="17"/>
              </w:rPr>
              <w:t>ref-verify</w:t>
            </w:r>
          </w:p>
          <w:p>
            <w:pPr>
              <w:spacing w:before="30" w:after="30" w:line="252" w:lineRule="auto"/>
            </w:pPr>
            <w:r>
              <w:rPr>
                <w:rFonts w:ascii="Calibri" w:hAnsi="Calibri"/>
                <w:color w:val="475467"/>
                <w:sz w:val="17"/>
              </w:rPr>
              <w:t>Verification modal cross-referencing original challan in rev_recon_result, validating payment receipt, checking prior claims, and recording deduction checklist.</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rev_refund_verification; rev_recon_result; rev_portal_transaction_staging</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Refund Stage (LOOKUP_REFUND_STAGE)</w:t>
            </w:r>
          </w:p>
        </w:tc>
        <w:tc>
          <w:tcPr>
            <w:tcW w:type="dxa" w:w="2016"/>
            <w:shd w:fill="F8FAFC"/>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8FAFC"/>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FFFFF"/>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Official Refund Sanction Order Generator</w:t>
            </w:r>
          </w:p>
          <w:p>
            <w:pPr>
              <w:spacing w:before="30" w:after="30" w:line="252" w:lineRule="auto"/>
            </w:pPr>
            <w:r>
              <w:rPr>
                <w:rFonts w:ascii="Calibri" w:hAnsi="Calibri"/>
                <w:i/>
                <w:color w:val="026AA2"/>
                <w:sz w:val="17"/>
              </w:rPr>
              <w:t>ref-sanction</w:t>
            </w:r>
          </w:p>
          <w:p>
            <w:pPr>
              <w:spacing w:before="30" w:after="30" w:line="252" w:lineRule="auto"/>
            </w:pPr>
            <w:r>
              <w:rPr>
                <w:rFonts w:ascii="Calibri" w:hAnsi="Calibri"/>
                <w:color w:val="475467"/>
                <w:sz w:val="17"/>
              </w:rPr>
              <w:t>Generates formal government refund sanction order with sanction reference (SANCTION-REF-YYYYMMDD-XXXXXX), claimant details, and statutory approval clauses.</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rev_refund_case; document_number_sequence</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Refund Type (LOOKUP_REFUND_TYPE)</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FFFFF"/>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8FAFC"/>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PAO Treasury Refund Bill Preparation Drawer</w:t>
            </w:r>
          </w:p>
          <w:p>
            <w:pPr>
              <w:spacing w:before="30" w:after="30" w:line="252" w:lineRule="auto"/>
            </w:pPr>
            <w:r>
              <w:rPr>
                <w:rFonts w:ascii="Calibri" w:hAnsi="Calibri"/>
                <w:i/>
                <w:color w:val="026AA2"/>
                <w:sz w:val="17"/>
              </w:rPr>
              <w:t>ref-bill</w:t>
            </w:r>
          </w:p>
          <w:p>
            <w:pPr>
              <w:spacing w:before="30" w:after="30" w:line="252" w:lineRule="auto"/>
            </w:pPr>
            <w:r>
              <w:rPr>
                <w:rFonts w:ascii="Calibri" w:hAnsi="Calibri"/>
                <w:color w:val="475467"/>
                <w:sz w:val="17"/>
              </w:rPr>
              <w:t>Prepares electronic treasury refund bill (rev_refund_bill) debiting Head 0030-00-900-01-00-01 (Deduct Refunds) with DDO and PAO authorization.</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rev_refund_bill; chart_of_account; ddo; branch</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PAO Code (LOOKUP_PAO); Department Code (LOOKUP_DEPARTMENT)</w:t>
            </w:r>
          </w:p>
        </w:tc>
        <w:tc>
          <w:tcPr>
            <w:tcW w:type="dxa" w:w="2016"/>
            <w:shd w:fill="F8FAFC"/>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8FAFC"/>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FFFFF"/>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Citizen Public Refund Tracking Portal</w:t>
            </w:r>
          </w:p>
          <w:p>
            <w:pPr>
              <w:spacing w:before="30" w:after="30" w:line="252" w:lineRule="auto"/>
            </w:pPr>
            <w:r>
              <w:rPr>
                <w:rFonts w:ascii="Calibri" w:hAnsi="Calibri"/>
                <w:i/>
                <w:color w:val="026AA2"/>
                <w:sz w:val="17"/>
              </w:rPr>
              <w:t>ref-citizen</w:t>
            </w:r>
          </w:p>
          <w:p>
            <w:pPr>
              <w:spacing w:before="30" w:after="30" w:line="252" w:lineRule="auto"/>
            </w:pPr>
            <w:r>
              <w:rPr>
                <w:rFonts w:ascii="Calibri" w:hAnsi="Calibri"/>
                <w:color w:val="475467"/>
                <w:sz w:val="17"/>
              </w:rPr>
              <w:t>Public-facing portal for citizens to track refund status using Challan No, Application Ref, and Mobile OTP with live 4-stage visual timeline.</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rev_refund_case; rev_refund_verification</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Refund Stage (LOOKUP_REFUND_STAGE)</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FFFFF"/>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bl>
    <w:p>
      <w:pPr>
        <w:spacing w:before="180" w:after="40"/>
      </w:pPr>
      <w:r>
        <w:rPr>
          <w:rFonts w:ascii="Calibri" w:hAnsi="Calibri"/>
          <w:b/>
          <w:color w:val="026AA2"/>
          <w:sz w:val="22"/>
        </w:rPr>
        <w:t>8. Revenue Devolution to Local Bodies</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218"/>
        <w:gridCol w:w="2218"/>
        <w:gridCol w:w="2218"/>
        <w:gridCol w:w="2218"/>
        <w:gridCol w:w="2218"/>
      </w:tblGrid>
      <w:tr>
        <w:tc>
          <w:tcPr>
            <w:tcW w:type="dxa" w:w="2880"/>
            <w:shd w:fill="0B2240"/>
            <w:tcMar>
              <w:top w:w="90" w:type="dxa"/>
              <w:bottom w:w="90" w:type="dxa"/>
              <w:left w:w="120" w:type="dxa"/>
              <w:right w:w="120" w:type="dxa"/>
            </w:tcMar>
            <w:vAlign w:val="center"/>
          </w:tcPr>
          <w:p>
            <w:pPr>
              <w:spacing w:before="40" w:after="40"/>
            </w:pPr>
            <w:r>
              <w:rPr>
                <w:rFonts w:ascii="Calibri" w:hAnsi="Calibri"/>
                <w:b/>
                <w:color w:val="FFFFFF"/>
                <w:sz w:val="18"/>
              </w:rPr>
              <w:t>Screen</w:t>
            </w:r>
          </w:p>
        </w:tc>
        <w:tc>
          <w:tcPr>
            <w:tcW w:type="dxa" w:w="2592"/>
            <w:shd w:fill="0B2240"/>
            <w:tcMar>
              <w:top w:w="90" w:type="dxa"/>
              <w:bottom w:w="90" w:type="dxa"/>
              <w:left w:w="120" w:type="dxa"/>
              <w:right w:w="120" w:type="dxa"/>
            </w:tcMar>
            <w:vAlign w:val="center"/>
          </w:tcPr>
          <w:p>
            <w:pPr>
              <w:spacing w:before="40" w:after="40"/>
            </w:pPr>
            <w:r>
              <w:rPr>
                <w:rFonts w:ascii="Calibri" w:hAnsi="Calibri"/>
                <w:b/>
                <w:color w:val="FFFFFF"/>
                <w:sz w:val="18"/>
              </w:rPr>
              <w:t>DB Objects Used</w:t>
            </w:r>
          </w:p>
        </w:tc>
        <w:tc>
          <w:tcPr>
            <w:tcW w:type="dxa" w:w="2592"/>
            <w:shd w:fill="0B2240"/>
            <w:tcMar>
              <w:top w:w="90" w:type="dxa"/>
              <w:bottom w:w="90" w:type="dxa"/>
              <w:left w:w="120" w:type="dxa"/>
              <w:right w:w="120" w:type="dxa"/>
            </w:tcMar>
            <w:vAlign w:val="center"/>
          </w:tcPr>
          <w:p>
            <w:pPr>
              <w:spacing w:before="40" w:after="40"/>
            </w:pPr>
            <w:r>
              <w:rPr>
                <w:rFonts w:ascii="Calibri" w:hAnsi="Calibri"/>
                <w:b/>
                <w:color w:val="FFFFFF"/>
                <w:sz w:val="18"/>
              </w:rPr>
              <w:t>Lookups Used / Dropdown Fields</w:t>
            </w:r>
          </w:p>
        </w:tc>
        <w:tc>
          <w:tcPr>
            <w:tcW w:type="dxa" w:w="2016"/>
            <w:shd w:fill="0B2240"/>
            <w:tcMar>
              <w:top w:w="90" w:type="dxa"/>
              <w:bottom w:w="90" w:type="dxa"/>
              <w:left w:w="120" w:type="dxa"/>
              <w:right w:w="120" w:type="dxa"/>
            </w:tcMar>
            <w:vAlign w:val="center"/>
          </w:tcPr>
          <w:p>
            <w:pPr>
              <w:spacing w:before="40" w:after="40"/>
            </w:pPr>
            <w:r>
              <w:rPr>
                <w:rFonts w:ascii="Calibri" w:hAnsi="Calibri"/>
                <w:b/>
                <w:color w:val="FFFFFF"/>
                <w:sz w:val="18"/>
              </w:rPr>
              <w:t>Missing / Gap DB Objects</w:t>
            </w:r>
          </w:p>
        </w:tc>
        <w:tc>
          <w:tcPr>
            <w:tcW w:type="dxa" w:w="1008"/>
            <w:shd w:fill="0B2240"/>
            <w:tcMar>
              <w:top w:w="90" w:type="dxa"/>
              <w:bottom w:w="90" w:type="dxa"/>
              <w:left w:w="120" w:type="dxa"/>
              <w:right w:w="120" w:type="dxa"/>
            </w:tcMar>
            <w:vAlign w:val="center"/>
          </w:tcPr>
          <w:p>
            <w:pPr>
              <w:spacing w:before="40" w:after="40"/>
            </w:pPr>
            <w:r>
              <w:rPr>
                <w:rFonts w:ascii="Calibri" w:hAnsi="Calibri"/>
                <w:b/>
                <w:color w:val="FFFFFF"/>
                <w:sz w:val="18"/>
              </w:rPr>
              <w:t>Status</w:t>
            </w:r>
          </w:p>
        </w:tc>
      </w:tr>
      <w:tr>
        <w:tc>
          <w:tcPr>
            <w:tcW w:type="dxa" w:w="2880"/>
            <w:shd w:fill="FFFFFF"/>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Devolution Sharing Rules Configuration</w:t>
            </w:r>
          </w:p>
          <w:p>
            <w:pPr>
              <w:spacing w:before="30" w:after="30" w:line="252" w:lineRule="auto"/>
            </w:pPr>
            <w:r>
              <w:rPr>
                <w:rFonts w:ascii="Calibri" w:hAnsi="Calibri"/>
                <w:i/>
                <w:color w:val="026AA2"/>
                <w:sz w:val="17"/>
              </w:rPr>
              <w:t>dev-rules</w:t>
            </w:r>
          </w:p>
          <w:p>
            <w:pPr>
              <w:spacing w:before="30" w:after="30" w:line="252" w:lineRule="auto"/>
            </w:pPr>
            <w:r>
              <w:rPr>
                <w:rFonts w:ascii="Calibri" w:hAnsi="Calibri"/>
                <w:color w:val="475467"/>
                <w:sz w:val="17"/>
              </w:rPr>
              <w:t>Configure statutory revenue sharing percentages for MCD, NDMC, and Delhi Cantonment Board across Stamp Duty, Transfer Duty, Motor Vehicle Tax, Electricity Cess.</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rev_devolution_rule; rev_local_body; rev_revenue_source; chart_of_account</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Local Body (LOOKUP_LOCAL_BODY -&gt; ['MCD', 'NDMC', 'DCB']); Share Basis (LOOKUP_SHARE_BASIS -&gt; ['PERCENTAGE', 'FIXED_AMOUNT', 'NET_DIVISIBLE_FORMULA']); Revenue Source (LOOKUP_REVENUE_SOURCE)</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FFFFF"/>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8FAFC"/>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Net Divisible Pool Computation Matrix</w:t>
            </w:r>
          </w:p>
          <w:p>
            <w:pPr>
              <w:spacing w:before="30" w:after="30" w:line="252" w:lineRule="auto"/>
            </w:pPr>
            <w:r>
              <w:rPr>
                <w:rFonts w:ascii="Calibri" w:hAnsi="Calibri"/>
                <w:i/>
                <w:color w:val="026AA2"/>
                <w:sz w:val="17"/>
              </w:rPr>
              <w:t>dev-compute</w:t>
            </w:r>
          </w:p>
          <w:p>
            <w:pPr>
              <w:spacing w:before="30" w:after="30" w:line="252" w:lineRule="auto"/>
            </w:pPr>
            <w:r>
              <w:rPr>
                <w:rFonts w:ascii="Calibri" w:hAnsi="Calibri"/>
                <w:color w:val="475467"/>
                <w:sz w:val="17"/>
              </w:rPr>
              <w:t>Monthly/quarterly calculation matrix computing Gross Collections minus Refunds and Deductions to determine net divisible allocations.</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rev_devolution_computation; rev_recon_result</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Local Body (LOOKUP_LOCAL_BODY); Revenue Source (LOOKUP_REVENUE_SOURCE)</w:t>
            </w:r>
          </w:p>
        </w:tc>
        <w:tc>
          <w:tcPr>
            <w:tcW w:type="dxa" w:w="2016"/>
            <w:shd w:fill="F8FAFC"/>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8FAFC"/>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FFFFF"/>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Local Body Devolution Advice &amp; Sanction</w:t>
            </w:r>
          </w:p>
          <w:p>
            <w:pPr>
              <w:spacing w:before="30" w:after="30" w:line="252" w:lineRule="auto"/>
            </w:pPr>
            <w:r>
              <w:rPr>
                <w:rFonts w:ascii="Calibri" w:hAnsi="Calibri"/>
                <w:i/>
                <w:color w:val="026AA2"/>
                <w:sz w:val="17"/>
              </w:rPr>
              <w:t>dev-advice</w:t>
            </w:r>
          </w:p>
          <w:p>
            <w:pPr>
              <w:spacing w:before="30" w:after="30" w:line="252" w:lineRule="auto"/>
            </w:pPr>
            <w:r>
              <w:rPr>
                <w:rFonts w:ascii="Calibri" w:hAnsi="Calibri"/>
                <w:color w:val="475467"/>
                <w:sz w:val="17"/>
              </w:rPr>
              <w:t>Generates Treasury devolution payment advice (DEV-ADV-YYYYMMDD-XXXXXX) debiting Head 3604-00-200-01-00-01 for electronic local body fund transfer.</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rev_devolution_advice; rev_local_body; chart_of_account</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Local Body (LOOKUP_LOCAL_BODY); Signatory Role (LOOKUP_USER_ROLE)</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FFFFF"/>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bl>
    <w:p>
      <w:pPr>
        <w:spacing w:before="180" w:after="40"/>
      </w:pPr>
      <w:r>
        <w:rPr>
          <w:rFonts w:ascii="Calibri" w:hAnsi="Calibri"/>
          <w:b/>
          <w:color w:val="026AA2"/>
          <w:sz w:val="22"/>
        </w:rPr>
        <w:t>9. Accounting &amp; General Ledger Posting</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218"/>
        <w:gridCol w:w="2218"/>
        <w:gridCol w:w="2218"/>
        <w:gridCol w:w="2218"/>
        <w:gridCol w:w="2218"/>
      </w:tblGrid>
      <w:tr>
        <w:tc>
          <w:tcPr>
            <w:tcW w:type="dxa" w:w="2880"/>
            <w:shd w:fill="0B2240"/>
            <w:tcMar>
              <w:top w:w="90" w:type="dxa"/>
              <w:bottom w:w="90" w:type="dxa"/>
              <w:left w:w="120" w:type="dxa"/>
              <w:right w:w="120" w:type="dxa"/>
            </w:tcMar>
            <w:vAlign w:val="center"/>
          </w:tcPr>
          <w:p>
            <w:pPr>
              <w:spacing w:before="40" w:after="40"/>
            </w:pPr>
            <w:r>
              <w:rPr>
                <w:rFonts w:ascii="Calibri" w:hAnsi="Calibri"/>
                <w:b/>
                <w:color w:val="FFFFFF"/>
                <w:sz w:val="18"/>
              </w:rPr>
              <w:t>Screen</w:t>
            </w:r>
          </w:p>
        </w:tc>
        <w:tc>
          <w:tcPr>
            <w:tcW w:type="dxa" w:w="2592"/>
            <w:shd w:fill="0B2240"/>
            <w:tcMar>
              <w:top w:w="90" w:type="dxa"/>
              <w:bottom w:w="90" w:type="dxa"/>
              <w:left w:w="120" w:type="dxa"/>
              <w:right w:w="120" w:type="dxa"/>
            </w:tcMar>
            <w:vAlign w:val="center"/>
          </w:tcPr>
          <w:p>
            <w:pPr>
              <w:spacing w:before="40" w:after="40"/>
            </w:pPr>
            <w:r>
              <w:rPr>
                <w:rFonts w:ascii="Calibri" w:hAnsi="Calibri"/>
                <w:b/>
                <w:color w:val="FFFFFF"/>
                <w:sz w:val="18"/>
              </w:rPr>
              <w:t>DB Objects Used</w:t>
            </w:r>
          </w:p>
        </w:tc>
        <w:tc>
          <w:tcPr>
            <w:tcW w:type="dxa" w:w="2592"/>
            <w:shd w:fill="0B2240"/>
            <w:tcMar>
              <w:top w:w="90" w:type="dxa"/>
              <w:bottom w:w="90" w:type="dxa"/>
              <w:left w:w="120" w:type="dxa"/>
              <w:right w:w="120" w:type="dxa"/>
            </w:tcMar>
            <w:vAlign w:val="center"/>
          </w:tcPr>
          <w:p>
            <w:pPr>
              <w:spacing w:before="40" w:after="40"/>
            </w:pPr>
            <w:r>
              <w:rPr>
                <w:rFonts w:ascii="Calibri" w:hAnsi="Calibri"/>
                <w:b/>
                <w:color w:val="FFFFFF"/>
                <w:sz w:val="18"/>
              </w:rPr>
              <w:t>Lookups Used / Dropdown Fields</w:t>
            </w:r>
          </w:p>
        </w:tc>
        <w:tc>
          <w:tcPr>
            <w:tcW w:type="dxa" w:w="2016"/>
            <w:shd w:fill="0B2240"/>
            <w:tcMar>
              <w:top w:w="90" w:type="dxa"/>
              <w:bottom w:w="90" w:type="dxa"/>
              <w:left w:w="120" w:type="dxa"/>
              <w:right w:w="120" w:type="dxa"/>
            </w:tcMar>
            <w:vAlign w:val="center"/>
          </w:tcPr>
          <w:p>
            <w:pPr>
              <w:spacing w:before="40" w:after="40"/>
            </w:pPr>
            <w:r>
              <w:rPr>
                <w:rFonts w:ascii="Calibri" w:hAnsi="Calibri"/>
                <w:b/>
                <w:color w:val="FFFFFF"/>
                <w:sz w:val="18"/>
              </w:rPr>
              <w:t>Missing / Gap DB Objects</w:t>
            </w:r>
          </w:p>
        </w:tc>
        <w:tc>
          <w:tcPr>
            <w:tcW w:type="dxa" w:w="1008"/>
            <w:shd w:fill="0B2240"/>
            <w:tcMar>
              <w:top w:w="90" w:type="dxa"/>
              <w:bottom w:w="90" w:type="dxa"/>
              <w:left w:w="120" w:type="dxa"/>
              <w:right w:w="120" w:type="dxa"/>
            </w:tcMar>
            <w:vAlign w:val="center"/>
          </w:tcPr>
          <w:p>
            <w:pPr>
              <w:spacing w:before="40" w:after="40"/>
            </w:pPr>
            <w:r>
              <w:rPr>
                <w:rFonts w:ascii="Calibri" w:hAnsi="Calibri"/>
                <w:b/>
                <w:color w:val="FFFFFF"/>
                <w:sz w:val="18"/>
              </w:rPr>
              <w:t>Status</w:t>
            </w:r>
          </w:p>
        </w:tc>
      </w:tr>
      <w:tr>
        <w:tc>
          <w:tcPr>
            <w:tcW w:type="dxa" w:w="2880"/>
            <w:shd w:fill="FFFFFF"/>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Daily Head-wise Receipt Booking Matrix</w:t>
            </w:r>
          </w:p>
          <w:p>
            <w:pPr>
              <w:spacing w:before="30" w:after="30" w:line="252" w:lineRule="auto"/>
            </w:pPr>
            <w:r>
              <w:rPr>
                <w:rFonts w:ascii="Calibri" w:hAnsi="Calibri"/>
                <w:i/>
                <w:color w:val="026AA2"/>
                <w:sz w:val="17"/>
              </w:rPr>
              <w:t>acc-matrix</w:t>
            </w:r>
          </w:p>
          <w:p>
            <w:pPr>
              <w:spacing w:before="30" w:after="30" w:line="252" w:lineRule="auto"/>
            </w:pPr>
            <w:r>
              <w:rPr>
                <w:rFonts w:ascii="Calibri" w:hAnsi="Calibri"/>
                <w:color w:val="475467"/>
                <w:sz w:val="17"/>
              </w:rPr>
              <w:t>Classifies 3-way reconciled collections into primary revenue heads (0040 SGST, 0039 Excise, 0041 MV Tax, 0030 Stamp Duty, 0070 Non-Tax) ready for GL posting.</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rev_recon_result; chart_of_account; branch</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PAO Code (LOOKUP_PAO); Revenue Source (LOOKUP_REVENUE_SOURCE); Booking Status (LOOKUP_BOOKING_STATUS -&gt; ['READY_FOR_BOOKING', 'POSTED', 'UNBOOKED', 'SUSPENDED'])</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FFFFF"/>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8FAFC"/>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Suspense Account Clearing Register</w:t>
            </w:r>
          </w:p>
          <w:p>
            <w:pPr>
              <w:spacing w:before="30" w:after="30" w:line="252" w:lineRule="auto"/>
            </w:pPr>
            <w:r>
              <w:rPr>
                <w:rFonts w:ascii="Calibri" w:hAnsi="Calibri"/>
                <w:i/>
                <w:color w:val="026AA2"/>
                <w:sz w:val="17"/>
              </w:rPr>
              <w:t>acc-suspense</w:t>
            </w:r>
          </w:p>
          <w:p>
            <w:pPr>
              <w:spacing w:before="30" w:after="30" w:line="252" w:lineRule="auto"/>
            </w:pPr>
            <w:r>
              <w:rPr>
                <w:rFonts w:ascii="Calibri" w:hAnsi="Calibri"/>
                <w:color w:val="475467"/>
                <w:sz w:val="17"/>
              </w:rPr>
              <w:t>Tracks open balances and aging in Treasury Suspense (8658-102) and Reserve Bank Suspense (8658-101) with clearance linking to resolved scrolls.</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rev_suspense_register; rev_vw_suspense_and_rat; chart_of_account</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Match Status (LOOKUP_MATCH_STATUS -&gt; ['Suspend', 'RAT'])</w:t>
            </w:r>
          </w:p>
        </w:tc>
        <w:tc>
          <w:tcPr>
            <w:tcW w:type="dxa" w:w="2016"/>
            <w:shd w:fill="F8FAFC"/>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8FAFC"/>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FFFFF"/>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GL Accounting Voucher Posting Drawer</w:t>
            </w:r>
          </w:p>
          <w:p>
            <w:pPr>
              <w:spacing w:before="30" w:after="30" w:line="252" w:lineRule="auto"/>
            </w:pPr>
            <w:r>
              <w:rPr>
                <w:rFonts w:ascii="Calibri" w:hAnsi="Calibri"/>
                <w:i/>
                <w:color w:val="026AA2"/>
                <w:sz w:val="17"/>
              </w:rPr>
              <w:t>acc-voucher</w:t>
            </w:r>
          </w:p>
          <w:p>
            <w:pPr>
              <w:spacing w:before="30" w:after="30" w:line="252" w:lineRule="auto"/>
            </w:pPr>
            <w:r>
              <w:rPr>
                <w:rFonts w:ascii="Calibri" w:hAnsi="Calibri"/>
                <w:color w:val="475467"/>
                <w:sz w:val="17"/>
              </w:rPr>
              <w:t>Generates double-entry accounting voucher (REV-VOUCH-YYYYMMDD-XXXXXX) debiting GOVT-RBI-RECEIPTS and crediting functional revenue heads in account_voucher.</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account_voucher; chart_of_account; branch; ddo</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PAO Code (LOOKUP_PAO); Department Code (LOOKUP_DEPARTMENT)</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FFFFF"/>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bl>
    <w:p>
      <w:pPr>
        <w:spacing w:before="180" w:after="40"/>
      </w:pPr>
      <w:r>
        <w:rPr>
          <w:rFonts w:ascii="Calibri" w:hAnsi="Calibri"/>
          <w:b/>
          <w:color w:val="026AA2"/>
          <w:sz w:val="22"/>
        </w:rPr>
        <w:t>10. Reports &amp; Management Information System (MIS)</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218"/>
        <w:gridCol w:w="2218"/>
        <w:gridCol w:w="2218"/>
        <w:gridCol w:w="2218"/>
        <w:gridCol w:w="2218"/>
      </w:tblGrid>
      <w:tr>
        <w:tc>
          <w:tcPr>
            <w:tcW w:type="dxa" w:w="2880"/>
            <w:shd w:fill="0B2240"/>
            <w:tcMar>
              <w:top w:w="90" w:type="dxa"/>
              <w:bottom w:w="90" w:type="dxa"/>
              <w:left w:w="120" w:type="dxa"/>
              <w:right w:w="120" w:type="dxa"/>
            </w:tcMar>
            <w:vAlign w:val="center"/>
          </w:tcPr>
          <w:p>
            <w:pPr>
              <w:spacing w:before="40" w:after="40"/>
            </w:pPr>
            <w:r>
              <w:rPr>
                <w:rFonts w:ascii="Calibri" w:hAnsi="Calibri"/>
                <w:b/>
                <w:color w:val="FFFFFF"/>
                <w:sz w:val="18"/>
              </w:rPr>
              <w:t>Screen</w:t>
            </w:r>
          </w:p>
        </w:tc>
        <w:tc>
          <w:tcPr>
            <w:tcW w:type="dxa" w:w="2592"/>
            <w:shd w:fill="0B2240"/>
            <w:tcMar>
              <w:top w:w="90" w:type="dxa"/>
              <w:bottom w:w="90" w:type="dxa"/>
              <w:left w:w="120" w:type="dxa"/>
              <w:right w:w="120" w:type="dxa"/>
            </w:tcMar>
            <w:vAlign w:val="center"/>
          </w:tcPr>
          <w:p>
            <w:pPr>
              <w:spacing w:before="40" w:after="40"/>
            </w:pPr>
            <w:r>
              <w:rPr>
                <w:rFonts w:ascii="Calibri" w:hAnsi="Calibri"/>
                <w:b/>
                <w:color w:val="FFFFFF"/>
                <w:sz w:val="18"/>
              </w:rPr>
              <w:t>DB Objects Used</w:t>
            </w:r>
          </w:p>
        </w:tc>
        <w:tc>
          <w:tcPr>
            <w:tcW w:type="dxa" w:w="2592"/>
            <w:shd w:fill="0B2240"/>
            <w:tcMar>
              <w:top w:w="90" w:type="dxa"/>
              <w:bottom w:w="90" w:type="dxa"/>
              <w:left w:w="120" w:type="dxa"/>
              <w:right w:w="120" w:type="dxa"/>
            </w:tcMar>
            <w:vAlign w:val="center"/>
          </w:tcPr>
          <w:p>
            <w:pPr>
              <w:spacing w:before="40" w:after="40"/>
            </w:pPr>
            <w:r>
              <w:rPr>
                <w:rFonts w:ascii="Calibri" w:hAnsi="Calibri"/>
                <w:b/>
                <w:color w:val="FFFFFF"/>
                <w:sz w:val="18"/>
              </w:rPr>
              <w:t>Lookups Used / Dropdown Fields</w:t>
            </w:r>
          </w:p>
        </w:tc>
        <w:tc>
          <w:tcPr>
            <w:tcW w:type="dxa" w:w="2016"/>
            <w:shd w:fill="0B2240"/>
            <w:tcMar>
              <w:top w:w="90" w:type="dxa"/>
              <w:bottom w:w="90" w:type="dxa"/>
              <w:left w:w="120" w:type="dxa"/>
              <w:right w:w="120" w:type="dxa"/>
            </w:tcMar>
            <w:vAlign w:val="center"/>
          </w:tcPr>
          <w:p>
            <w:pPr>
              <w:spacing w:before="40" w:after="40"/>
            </w:pPr>
            <w:r>
              <w:rPr>
                <w:rFonts w:ascii="Calibri" w:hAnsi="Calibri"/>
                <w:b/>
                <w:color w:val="FFFFFF"/>
                <w:sz w:val="18"/>
              </w:rPr>
              <w:t>Missing / Gap DB Objects</w:t>
            </w:r>
          </w:p>
        </w:tc>
        <w:tc>
          <w:tcPr>
            <w:tcW w:type="dxa" w:w="1008"/>
            <w:shd w:fill="0B2240"/>
            <w:tcMar>
              <w:top w:w="90" w:type="dxa"/>
              <w:bottom w:w="90" w:type="dxa"/>
              <w:left w:w="120" w:type="dxa"/>
              <w:right w:w="120" w:type="dxa"/>
            </w:tcMar>
            <w:vAlign w:val="center"/>
          </w:tcPr>
          <w:p>
            <w:pPr>
              <w:spacing w:before="40" w:after="40"/>
            </w:pPr>
            <w:r>
              <w:rPr>
                <w:rFonts w:ascii="Calibri" w:hAnsi="Calibri"/>
                <w:b/>
                <w:color w:val="FFFFFF"/>
                <w:sz w:val="18"/>
              </w:rPr>
              <w:t>Status</w:t>
            </w:r>
          </w:p>
        </w:tc>
      </w:tr>
      <w:tr>
        <w:tc>
          <w:tcPr>
            <w:tcW w:type="dxa" w:w="2880"/>
            <w:shd w:fill="FFFFFF"/>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Daily Collection &amp; Remittance Scroll (MIS-01)</w:t>
            </w:r>
          </w:p>
          <w:p>
            <w:pPr>
              <w:spacing w:before="30" w:after="30" w:line="252" w:lineRule="auto"/>
            </w:pPr>
            <w:r>
              <w:rPr>
                <w:rFonts w:ascii="Calibri" w:hAnsi="Calibri"/>
                <w:i/>
                <w:color w:val="026AA2"/>
                <w:sz w:val="17"/>
              </w:rPr>
              <w:t>rep-mis01</w:t>
            </w:r>
          </w:p>
          <w:p>
            <w:pPr>
              <w:spacing w:before="30" w:after="30" w:line="252" w:lineRule="auto"/>
            </w:pPr>
            <w:r>
              <w:rPr>
                <w:rFonts w:ascii="Calibri" w:hAnsi="Calibri"/>
                <w:color w:val="475467"/>
                <w:sz w:val="17"/>
              </w:rPr>
              <w:t>Consolidated daily report comparing portal collections against agency bank scrolls and RBI clearing with difference breakdown.</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rev_vw_3way_recon_summary; rev_portal_transaction_staging</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Revenue Source (LOOKUP_REVENUE_SOURCE); Department (LOOKUP_DEPARTMENT); PAO (LOOKUP_PAO)</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FFFFF"/>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8FAFC"/>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3-Way Reconciliation Status Statement (MIS-02)</w:t>
            </w:r>
          </w:p>
          <w:p>
            <w:pPr>
              <w:spacing w:before="30" w:after="30" w:line="252" w:lineRule="auto"/>
            </w:pPr>
            <w:r>
              <w:rPr>
                <w:rFonts w:ascii="Calibri" w:hAnsi="Calibri"/>
                <w:i/>
                <w:color w:val="026AA2"/>
                <w:sz w:val="17"/>
              </w:rPr>
              <w:t>rep-mis02</w:t>
            </w:r>
          </w:p>
          <w:p>
            <w:pPr>
              <w:spacing w:before="30" w:after="30" w:line="252" w:lineRule="auto"/>
            </w:pPr>
            <w:r>
              <w:rPr>
                <w:rFonts w:ascii="Calibri" w:hAnsi="Calibri"/>
                <w:color w:val="475467"/>
                <w:sz w:val="17"/>
              </w:rPr>
              <w:t>Official reconciliation statement detailing matched, pending, suspense, and duplicate items for statutory audit.</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rev_recon_result; rev_recon_run</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Match Status (LOOKUP_MATCH_STATUS); Revenue Source (LOOKUP_REVENUE_SOURCE)</w:t>
            </w:r>
          </w:p>
        </w:tc>
        <w:tc>
          <w:tcPr>
            <w:tcW w:type="dxa" w:w="2016"/>
            <w:shd w:fill="F8FAFC"/>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8FAFC"/>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FFFFF"/>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Bank SLA Performance &amp; Penal Recovery (MIS-03)</w:t>
            </w:r>
          </w:p>
          <w:p>
            <w:pPr>
              <w:spacing w:before="30" w:after="30" w:line="252" w:lineRule="auto"/>
            </w:pPr>
            <w:r>
              <w:rPr>
                <w:rFonts w:ascii="Calibri" w:hAnsi="Calibri"/>
                <w:i/>
                <w:color w:val="026AA2"/>
                <w:sz w:val="17"/>
              </w:rPr>
              <w:t>rep-mis03</w:t>
            </w:r>
          </w:p>
          <w:p>
            <w:pPr>
              <w:spacing w:before="30" w:after="30" w:line="252" w:lineRule="auto"/>
            </w:pPr>
            <w:r>
              <w:rPr>
                <w:rFonts w:ascii="Calibri" w:hAnsi="Calibri"/>
                <w:color w:val="475467"/>
                <w:sz w:val="17"/>
              </w:rPr>
              <w:t>Bank-wise scorecard of on-time remittance percentages, breach counts, accrued penal interest, and recovery notices.</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rev_vw_bank_sla_performance; rev_penal_claim</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Agency Bank (LOOKUP_AGENCY_BANK); Recovery Status (LOOKUP_PENAL_RECOVERY_STATUS)</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FFFFF"/>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8FAFC"/>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Head-wise General Ledger Revenue Extract (MIS-04)</w:t>
            </w:r>
          </w:p>
          <w:p>
            <w:pPr>
              <w:spacing w:before="30" w:after="30" w:line="252" w:lineRule="auto"/>
            </w:pPr>
            <w:r>
              <w:rPr>
                <w:rFonts w:ascii="Calibri" w:hAnsi="Calibri"/>
                <w:i/>
                <w:color w:val="026AA2"/>
                <w:sz w:val="17"/>
              </w:rPr>
              <w:t>rep-mis04</w:t>
            </w:r>
          </w:p>
          <w:p>
            <w:pPr>
              <w:spacing w:before="30" w:after="30" w:line="252" w:lineRule="auto"/>
            </w:pPr>
            <w:r>
              <w:rPr>
                <w:rFonts w:ascii="Calibri" w:hAnsi="Calibri"/>
                <w:color w:val="475467"/>
                <w:sz w:val="17"/>
              </w:rPr>
              <w:t>General ledger audit extract of booked revenue vouchers grouped by 15-digit Head of Account.</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account_voucher; chart_of_account</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PAO Code (LOOKUP_PAO)</w:t>
            </w:r>
          </w:p>
        </w:tc>
        <w:tc>
          <w:tcPr>
            <w:tcW w:type="dxa" w:w="2016"/>
            <w:shd w:fill="F8FAFC"/>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8FAFC"/>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FFFFF"/>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Citizen Refund Sanctions Register (MIS-05)</w:t>
            </w:r>
          </w:p>
          <w:p>
            <w:pPr>
              <w:spacing w:before="30" w:after="30" w:line="252" w:lineRule="auto"/>
            </w:pPr>
            <w:r>
              <w:rPr>
                <w:rFonts w:ascii="Calibri" w:hAnsi="Calibri"/>
                <w:i/>
                <w:color w:val="026AA2"/>
                <w:sz w:val="17"/>
              </w:rPr>
              <w:t>rep-mis05</w:t>
            </w:r>
          </w:p>
          <w:p>
            <w:pPr>
              <w:spacing w:before="30" w:after="30" w:line="252" w:lineRule="auto"/>
            </w:pPr>
            <w:r>
              <w:rPr>
                <w:rFonts w:ascii="Calibri" w:hAnsi="Calibri"/>
                <w:color w:val="475467"/>
                <w:sz w:val="17"/>
              </w:rPr>
              <w:t>Monthly register of sanctioned and disbursed citizen revenue refunds across departments.</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rev_refund_case; rev_refund_bill</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Refund Stage (LOOKUP_REFUND_STAGE); Refund Type (LOOKUP_REFUND_TYPE)</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FFFFF"/>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8FAFC"/>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Local Body Devolution Disbursement Register (MIS-06)</w:t>
            </w:r>
          </w:p>
          <w:p>
            <w:pPr>
              <w:spacing w:before="30" w:after="30" w:line="252" w:lineRule="auto"/>
            </w:pPr>
            <w:r>
              <w:rPr>
                <w:rFonts w:ascii="Calibri" w:hAnsi="Calibri"/>
                <w:i/>
                <w:color w:val="026AA2"/>
                <w:sz w:val="17"/>
              </w:rPr>
              <w:t>rep-mis06</w:t>
            </w:r>
          </w:p>
          <w:p>
            <w:pPr>
              <w:spacing w:before="30" w:after="30" w:line="252" w:lineRule="auto"/>
            </w:pPr>
            <w:r>
              <w:rPr>
                <w:rFonts w:ascii="Calibri" w:hAnsi="Calibri"/>
                <w:color w:val="475467"/>
                <w:sz w:val="17"/>
              </w:rPr>
              <w:t>Register of statutory devolution transfers disbursed to MCD, NDMC, and DCB.</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rev_devolution_advice; rev_local_body</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Local Body (LOOKUP_LOCAL_BODY)</w:t>
            </w:r>
          </w:p>
        </w:tc>
        <w:tc>
          <w:tcPr>
            <w:tcW w:type="dxa" w:w="2016"/>
            <w:shd w:fill="F8FAFC"/>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8FAFC"/>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FFFFF"/>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Suspense &amp; RAT Aging Statement (MIS-07)</w:t>
            </w:r>
          </w:p>
          <w:p>
            <w:pPr>
              <w:spacing w:before="30" w:after="30" w:line="252" w:lineRule="auto"/>
            </w:pPr>
            <w:r>
              <w:rPr>
                <w:rFonts w:ascii="Calibri" w:hAnsi="Calibri"/>
                <w:i/>
                <w:color w:val="026AA2"/>
                <w:sz w:val="17"/>
              </w:rPr>
              <w:t>rep-mis07</w:t>
            </w:r>
          </w:p>
          <w:p>
            <w:pPr>
              <w:spacing w:before="30" w:after="30" w:line="252" w:lineRule="auto"/>
            </w:pPr>
            <w:r>
              <w:rPr>
                <w:rFonts w:ascii="Calibri" w:hAnsi="Calibri"/>
                <w:color w:val="475467"/>
                <w:sz w:val="17"/>
              </w:rPr>
              <w:t>Aging analysis of unreconciled credits in Major Head 8658 with clearance action plans.</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rev_suspense_register; rev_vw_suspense_and_rat</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Match Status (LOOKUP_MATCH_STATUS)</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FFFFF"/>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bl>
    <w:p>
      <w:pPr>
        <w:spacing w:before="180" w:after="40"/>
      </w:pPr>
      <w:r>
        <w:rPr>
          <w:rFonts w:ascii="Calibri" w:hAnsi="Calibri"/>
          <w:b/>
          <w:color w:val="026AA2"/>
          <w:sz w:val="22"/>
        </w:rPr>
        <w:t>11. Masters &amp; System Configuration</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218"/>
        <w:gridCol w:w="2218"/>
        <w:gridCol w:w="2218"/>
        <w:gridCol w:w="2218"/>
        <w:gridCol w:w="2218"/>
      </w:tblGrid>
      <w:tr>
        <w:tc>
          <w:tcPr>
            <w:tcW w:type="dxa" w:w="2880"/>
            <w:shd w:fill="0B2240"/>
            <w:tcMar>
              <w:top w:w="90" w:type="dxa"/>
              <w:bottom w:w="90" w:type="dxa"/>
              <w:left w:w="120" w:type="dxa"/>
              <w:right w:w="120" w:type="dxa"/>
            </w:tcMar>
            <w:vAlign w:val="center"/>
          </w:tcPr>
          <w:p>
            <w:pPr>
              <w:spacing w:before="40" w:after="40"/>
            </w:pPr>
            <w:r>
              <w:rPr>
                <w:rFonts w:ascii="Calibri" w:hAnsi="Calibri"/>
                <w:b/>
                <w:color w:val="FFFFFF"/>
                <w:sz w:val="18"/>
              </w:rPr>
              <w:t>Screen</w:t>
            </w:r>
          </w:p>
        </w:tc>
        <w:tc>
          <w:tcPr>
            <w:tcW w:type="dxa" w:w="2592"/>
            <w:shd w:fill="0B2240"/>
            <w:tcMar>
              <w:top w:w="90" w:type="dxa"/>
              <w:bottom w:w="90" w:type="dxa"/>
              <w:left w:w="120" w:type="dxa"/>
              <w:right w:w="120" w:type="dxa"/>
            </w:tcMar>
            <w:vAlign w:val="center"/>
          </w:tcPr>
          <w:p>
            <w:pPr>
              <w:spacing w:before="40" w:after="40"/>
            </w:pPr>
            <w:r>
              <w:rPr>
                <w:rFonts w:ascii="Calibri" w:hAnsi="Calibri"/>
                <w:b/>
                <w:color w:val="FFFFFF"/>
                <w:sz w:val="18"/>
              </w:rPr>
              <w:t>DB Objects Used</w:t>
            </w:r>
          </w:p>
        </w:tc>
        <w:tc>
          <w:tcPr>
            <w:tcW w:type="dxa" w:w="2592"/>
            <w:shd w:fill="0B2240"/>
            <w:tcMar>
              <w:top w:w="90" w:type="dxa"/>
              <w:bottom w:w="90" w:type="dxa"/>
              <w:left w:w="120" w:type="dxa"/>
              <w:right w:w="120" w:type="dxa"/>
            </w:tcMar>
            <w:vAlign w:val="center"/>
          </w:tcPr>
          <w:p>
            <w:pPr>
              <w:spacing w:before="40" w:after="40"/>
            </w:pPr>
            <w:r>
              <w:rPr>
                <w:rFonts w:ascii="Calibri" w:hAnsi="Calibri"/>
                <w:b/>
                <w:color w:val="FFFFFF"/>
                <w:sz w:val="18"/>
              </w:rPr>
              <w:t>Lookups Used / Dropdown Fields</w:t>
            </w:r>
          </w:p>
        </w:tc>
        <w:tc>
          <w:tcPr>
            <w:tcW w:type="dxa" w:w="2016"/>
            <w:shd w:fill="0B2240"/>
            <w:tcMar>
              <w:top w:w="90" w:type="dxa"/>
              <w:bottom w:w="90" w:type="dxa"/>
              <w:left w:w="120" w:type="dxa"/>
              <w:right w:w="120" w:type="dxa"/>
            </w:tcMar>
            <w:vAlign w:val="center"/>
          </w:tcPr>
          <w:p>
            <w:pPr>
              <w:spacing w:before="40" w:after="40"/>
            </w:pPr>
            <w:r>
              <w:rPr>
                <w:rFonts w:ascii="Calibri" w:hAnsi="Calibri"/>
                <w:b/>
                <w:color w:val="FFFFFF"/>
                <w:sz w:val="18"/>
              </w:rPr>
              <w:t>Missing / Gap DB Objects</w:t>
            </w:r>
          </w:p>
        </w:tc>
        <w:tc>
          <w:tcPr>
            <w:tcW w:type="dxa" w:w="1008"/>
            <w:shd w:fill="0B2240"/>
            <w:tcMar>
              <w:top w:w="90" w:type="dxa"/>
              <w:bottom w:w="90" w:type="dxa"/>
              <w:left w:w="120" w:type="dxa"/>
              <w:right w:w="120" w:type="dxa"/>
            </w:tcMar>
            <w:vAlign w:val="center"/>
          </w:tcPr>
          <w:p>
            <w:pPr>
              <w:spacing w:before="40" w:after="40"/>
            </w:pPr>
            <w:r>
              <w:rPr>
                <w:rFonts w:ascii="Calibri" w:hAnsi="Calibri"/>
                <w:b/>
                <w:color w:val="FFFFFF"/>
                <w:sz w:val="18"/>
              </w:rPr>
              <w:t>Status</w:t>
            </w:r>
          </w:p>
        </w:tc>
      </w:tr>
      <w:tr>
        <w:tc>
          <w:tcPr>
            <w:tcW w:type="dxa" w:w="2880"/>
            <w:shd w:fill="FFFFFF"/>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Organisation Masters - PAOs Subtab</w:t>
            </w:r>
          </w:p>
          <w:p>
            <w:pPr>
              <w:spacing w:before="30" w:after="30" w:line="252" w:lineRule="auto"/>
            </w:pPr>
            <w:r>
              <w:rPr>
                <w:rFonts w:ascii="Calibri" w:hAnsi="Calibri"/>
                <w:i/>
                <w:color w:val="026AA2"/>
                <w:sz w:val="17"/>
              </w:rPr>
              <w:t>mst-paos</w:t>
            </w:r>
          </w:p>
          <w:p>
            <w:pPr>
              <w:spacing w:before="30" w:after="30" w:line="252" w:lineRule="auto"/>
            </w:pPr>
            <w:r>
              <w:rPr>
                <w:rFonts w:ascii="Calibri" w:hAnsi="Calibri"/>
                <w:color w:val="475467"/>
                <w:sz w:val="17"/>
              </w:rPr>
              <w:t>Maintains Pay and Accounts Offices (PAO21, PAO04, PAO08, PAO06, PAO10, PAO01) mapped to departments and treasuries.</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ifms_budget.branch (branch_type='PAO')</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PAO Code (LOOKUP_PAO); Department Code (LOOKUP_DEPARTMENT)</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FFFFF"/>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8FAFC"/>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Organisation Masters - Departments Subtab</w:t>
            </w:r>
          </w:p>
          <w:p>
            <w:pPr>
              <w:spacing w:before="30" w:after="30" w:line="252" w:lineRule="auto"/>
            </w:pPr>
            <w:r>
              <w:rPr>
                <w:rFonts w:ascii="Calibri" w:hAnsi="Calibri"/>
                <w:i/>
                <w:color w:val="026AA2"/>
                <w:sz w:val="17"/>
              </w:rPr>
              <w:t>mst-dept</w:t>
            </w:r>
          </w:p>
          <w:p>
            <w:pPr>
              <w:spacing w:before="30" w:after="30" w:line="252" w:lineRule="auto"/>
            </w:pPr>
            <w:r>
              <w:rPr>
                <w:rFonts w:ascii="Calibri" w:hAnsi="Calibri"/>
                <w:color w:val="475467"/>
                <w:sz w:val="17"/>
              </w:rPr>
              <w:t>Maintains revenue-collecting government departments (TT, EXCISE, TRANSPORT, STAMPREG, FIN, GAD, PWD).</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ifms_budget.department</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Department Code (LOOKUP_DEPARTMENT)</w:t>
            </w:r>
          </w:p>
        </w:tc>
        <w:tc>
          <w:tcPr>
            <w:tcW w:type="dxa" w:w="2016"/>
            <w:shd w:fill="F8FAFC"/>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8FAFC"/>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FFFFF"/>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Organisation Masters - DDOs Subtab</w:t>
            </w:r>
          </w:p>
          <w:p>
            <w:pPr>
              <w:spacing w:before="30" w:after="30" w:line="252" w:lineRule="auto"/>
            </w:pPr>
            <w:r>
              <w:rPr>
                <w:rFonts w:ascii="Calibri" w:hAnsi="Calibri"/>
                <w:i/>
                <w:color w:val="026AA2"/>
                <w:sz w:val="17"/>
              </w:rPr>
              <w:t>mst-ddo</w:t>
            </w:r>
          </w:p>
          <w:p>
            <w:pPr>
              <w:spacing w:before="30" w:after="30" w:line="252" w:lineRule="auto"/>
            </w:pPr>
            <w:r>
              <w:rPr>
                <w:rFonts w:ascii="Calibri" w:hAnsi="Calibri"/>
                <w:color w:val="475467"/>
                <w:sz w:val="17"/>
              </w:rPr>
              <w:t>Maintains Drawing and Disbursing Officers mapped to parent departments and accounting branches.</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ifms_budget.ddo</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Department Code (LOOKUP_DEPARTMENT); PAO Code (LOOKUP_PAO)</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FFFFF"/>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8FAFC"/>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Organisation Masters - Treasuries Subtab</w:t>
            </w:r>
          </w:p>
          <w:p>
            <w:pPr>
              <w:spacing w:before="30" w:after="30" w:line="252" w:lineRule="auto"/>
            </w:pPr>
            <w:r>
              <w:rPr>
                <w:rFonts w:ascii="Calibri" w:hAnsi="Calibri"/>
                <w:i/>
                <w:color w:val="026AA2"/>
                <w:sz w:val="17"/>
              </w:rPr>
              <w:t>mst-treasury</w:t>
            </w:r>
          </w:p>
          <w:p>
            <w:pPr>
              <w:spacing w:before="30" w:after="30" w:line="252" w:lineRule="auto"/>
            </w:pPr>
            <w:r>
              <w:rPr>
                <w:rFonts w:ascii="Calibri" w:hAnsi="Calibri"/>
                <w:color w:val="475467"/>
                <w:sz w:val="17"/>
              </w:rPr>
              <w:t>Maintains Treasury accounting offices (TRY-CENTRAL, TRY-NEWDELHI) managing central receipt accounts.</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ifms_budget.branch (branch_type='TREASURY')</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PAO Code (LOOKUP_PAO)</w:t>
            </w:r>
          </w:p>
        </w:tc>
        <w:tc>
          <w:tcPr>
            <w:tcW w:type="dxa" w:w="2016"/>
            <w:shd w:fill="F8FAFC"/>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8FAFC"/>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FFFFF"/>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Organisation Masters - Banks &amp; Bank Branches</w:t>
            </w:r>
          </w:p>
          <w:p>
            <w:pPr>
              <w:spacing w:before="30" w:after="30" w:line="252" w:lineRule="auto"/>
            </w:pPr>
            <w:r>
              <w:rPr>
                <w:rFonts w:ascii="Calibri" w:hAnsi="Calibri"/>
                <w:i/>
                <w:color w:val="026AA2"/>
                <w:sz w:val="17"/>
              </w:rPr>
              <w:t>mst-banks</w:t>
            </w:r>
          </w:p>
          <w:p>
            <w:pPr>
              <w:spacing w:before="30" w:after="30" w:line="252" w:lineRule="auto"/>
            </w:pPr>
            <w:r>
              <w:rPr>
                <w:rFonts w:ascii="Calibri" w:hAnsi="Calibri"/>
                <w:color w:val="475467"/>
                <w:sz w:val="17"/>
              </w:rPr>
              <w:t>Maintains accredited agency banks (SBI, HDFC, ICICI, PNB) and branch IFSC codes.</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ifms_budget.agency_bank; ifms_budget.bank_branch</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Agency Bank (LOOKUP_AGENCY_BANK)</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FFFFF"/>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8FAFC"/>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Organisation Masters - Local Bodies Subtab</w:t>
            </w:r>
          </w:p>
          <w:p>
            <w:pPr>
              <w:spacing w:before="30" w:after="30" w:line="252" w:lineRule="auto"/>
            </w:pPr>
            <w:r>
              <w:rPr>
                <w:rFonts w:ascii="Calibri" w:hAnsi="Calibri"/>
                <w:i/>
                <w:color w:val="026AA2"/>
                <w:sz w:val="17"/>
              </w:rPr>
              <w:t>mst-localbodies</w:t>
            </w:r>
          </w:p>
          <w:p>
            <w:pPr>
              <w:spacing w:before="30" w:after="30" w:line="252" w:lineRule="auto"/>
            </w:pPr>
            <w:r>
              <w:rPr>
                <w:rFonts w:ascii="Calibri" w:hAnsi="Calibri"/>
                <w:color w:val="475467"/>
                <w:sz w:val="17"/>
              </w:rPr>
              <w:t>Maintains civic bodies (MCD, NDMC, DCB) bank accounts and IFSC codes for revenue devolution.</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rev_local_body</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Local Body Code (LOOKUP_LOCAL_BODY)</w:t>
            </w:r>
          </w:p>
        </w:tc>
        <w:tc>
          <w:tcPr>
            <w:tcW w:type="dxa" w:w="2016"/>
            <w:shd w:fill="F8FAFC"/>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8FAFC"/>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FFFFF"/>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Organisation Masters - Revenue Portals Subtab</w:t>
            </w:r>
          </w:p>
          <w:p>
            <w:pPr>
              <w:spacing w:before="30" w:after="30" w:line="252" w:lineRule="auto"/>
            </w:pPr>
            <w:r>
              <w:rPr>
                <w:rFonts w:ascii="Calibri" w:hAnsi="Calibri"/>
                <w:i/>
                <w:color w:val="026AA2"/>
                <w:sz w:val="17"/>
              </w:rPr>
              <w:t>mst-portals</w:t>
            </w:r>
          </w:p>
          <w:p>
            <w:pPr>
              <w:spacing w:before="30" w:after="30" w:line="252" w:lineRule="auto"/>
            </w:pPr>
            <w:r>
              <w:rPr>
                <w:rFonts w:ascii="Calibri" w:hAnsi="Calibri"/>
                <w:color w:val="475467"/>
                <w:sz w:val="17"/>
              </w:rPr>
              <w:t>Maintains external revenue collection portals (GSTN, ESCIMS, VAHAN, NGDRS, SARATHI, E-DISTRICT) and endpoints.</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rev_revenue_portal</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Department Code (LOOKUP_DEPARTMENT)</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FFFFF"/>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8FAFC"/>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Revenue Sources Master Configuration</w:t>
            </w:r>
          </w:p>
          <w:p>
            <w:pPr>
              <w:spacing w:before="30" w:after="30" w:line="252" w:lineRule="auto"/>
            </w:pPr>
            <w:r>
              <w:rPr>
                <w:rFonts w:ascii="Calibri" w:hAnsi="Calibri"/>
                <w:i/>
                <w:color w:val="026AA2"/>
                <w:sz w:val="17"/>
              </w:rPr>
              <w:t>mst-sources</w:t>
            </w:r>
          </w:p>
          <w:p>
            <w:pPr>
              <w:spacing w:before="30" w:after="30" w:line="252" w:lineRule="auto"/>
            </w:pPr>
            <w:r>
              <w:rPr>
                <w:rFonts w:ascii="Calibri" w:hAnsi="Calibri"/>
                <w:color w:val="475467"/>
                <w:sz w:val="17"/>
              </w:rPr>
              <w:t>Maintains revenue streams (GST, EXCISE, TRANSPORT, STAMP, DVAT, NONTAX) with default PAO, default Receipt Head, and match key precedence.</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rev_revenue_source; chart_of_account; rev_sla_rule</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Revenue Source (LOOKUP_REVENUE_SOURCE); PAO Code (LOOKUP_PAO)</w:t>
            </w:r>
          </w:p>
        </w:tc>
        <w:tc>
          <w:tcPr>
            <w:tcW w:type="dxa" w:w="2016"/>
            <w:shd w:fill="F8FAFC"/>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8FAFC"/>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FFFFF"/>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Receipt Heads (Chart of Accounts)</w:t>
            </w:r>
          </w:p>
          <w:p>
            <w:pPr>
              <w:spacing w:before="30" w:after="30" w:line="252" w:lineRule="auto"/>
            </w:pPr>
            <w:r>
              <w:rPr>
                <w:rFonts w:ascii="Calibri" w:hAnsi="Calibri"/>
                <w:i/>
                <w:color w:val="026AA2"/>
                <w:sz w:val="17"/>
              </w:rPr>
              <w:t>mst-heads</w:t>
            </w:r>
          </w:p>
          <w:p>
            <w:pPr>
              <w:spacing w:before="30" w:after="30" w:line="252" w:lineRule="auto"/>
            </w:pPr>
            <w:r>
              <w:rPr>
                <w:rFonts w:ascii="Calibri" w:hAnsi="Calibri"/>
                <w:color w:val="475467"/>
                <w:sz w:val="17"/>
              </w:rPr>
              <w:t>Maintains 15-digit Revenue Receipt Heads of Account in core IFMS chart_of_account.</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chart_of_account; vw_chart_of_accounts</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Revenue Source (LOOKUP_REVENUE_SOURCE)</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FFFFF"/>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8FAFC"/>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Reconciliation &amp; SLA Penal Rules</w:t>
            </w:r>
          </w:p>
          <w:p>
            <w:pPr>
              <w:spacing w:before="30" w:after="30" w:line="252" w:lineRule="auto"/>
            </w:pPr>
            <w:r>
              <w:rPr>
                <w:rFonts w:ascii="Calibri" w:hAnsi="Calibri"/>
                <w:i/>
                <w:color w:val="026AA2"/>
                <w:sz w:val="17"/>
              </w:rPr>
              <w:t>mst-slarules</w:t>
            </w:r>
          </w:p>
          <w:p>
            <w:pPr>
              <w:spacing w:before="30" w:after="30" w:line="252" w:lineRule="auto"/>
            </w:pPr>
            <w:r>
              <w:rPr>
                <w:rFonts w:ascii="Calibri" w:hAnsi="Calibri"/>
                <w:color w:val="475467"/>
                <w:sz w:val="17"/>
              </w:rPr>
              <w:t>Configures allowed remittance days (T+1), grace days, and penal rate (12.00% p.a.) per payment mode.</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rev_sla_rule</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Payment Mode (LOOKUP_PAYMENT_MODE)</w:t>
            </w:r>
          </w:p>
        </w:tc>
        <w:tc>
          <w:tcPr>
            <w:tcW w:type="dxa" w:w="2016"/>
            <w:shd w:fill="F8FAFC"/>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8FAFC"/>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FFFFF"/>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System Configuration</w:t>
            </w:r>
          </w:p>
          <w:p>
            <w:pPr>
              <w:spacing w:before="30" w:after="30" w:line="252" w:lineRule="auto"/>
            </w:pPr>
            <w:r>
              <w:rPr>
                <w:rFonts w:ascii="Calibri" w:hAnsi="Calibri"/>
                <w:i/>
                <w:color w:val="026AA2"/>
                <w:sz w:val="17"/>
              </w:rPr>
              <w:t>mst-config</w:t>
            </w:r>
          </w:p>
          <w:p>
            <w:pPr>
              <w:spacing w:before="30" w:after="30" w:line="252" w:lineRule="auto"/>
            </w:pPr>
            <w:r>
              <w:rPr>
                <w:rFonts w:ascii="Calibri" w:hAnsi="Calibri"/>
                <w:color w:val="475467"/>
                <w:sz w:val="17"/>
              </w:rPr>
              <w:t>Global parameters: Current FY (2026-27), Demo Business Date, Amount Tolerance (Rs 0.01), Date Tolerance (2 days), Suspense Head (8658-102), Clearing Account.</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rev_system_config; chart_of_account</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User Role (LOOKUP_USER_ROLE)</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FFFFF"/>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bl>
    <w:p>
      <w:pPr>
        <w:spacing w:before="180" w:after="40"/>
      </w:pPr>
      <w:r>
        <w:rPr>
          <w:rFonts w:ascii="Calibri" w:hAnsi="Calibri"/>
          <w:b/>
          <w:color w:val="026AA2"/>
          <w:sz w:val="22"/>
        </w:rPr>
        <w:t>12. Audit Trail &amp; Governance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218"/>
        <w:gridCol w:w="2218"/>
        <w:gridCol w:w="2218"/>
        <w:gridCol w:w="2218"/>
        <w:gridCol w:w="2218"/>
      </w:tblGrid>
      <w:tr>
        <w:tc>
          <w:tcPr>
            <w:tcW w:type="dxa" w:w="2880"/>
            <w:shd w:fill="0B2240"/>
            <w:tcMar>
              <w:top w:w="90" w:type="dxa"/>
              <w:bottom w:w="90" w:type="dxa"/>
              <w:left w:w="120" w:type="dxa"/>
              <w:right w:w="120" w:type="dxa"/>
            </w:tcMar>
            <w:vAlign w:val="center"/>
          </w:tcPr>
          <w:p>
            <w:pPr>
              <w:spacing w:before="40" w:after="40"/>
            </w:pPr>
            <w:r>
              <w:rPr>
                <w:rFonts w:ascii="Calibri" w:hAnsi="Calibri"/>
                <w:b/>
                <w:color w:val="FFFFFF"/>
                <w:sz w:val="18"/>
              </w:rPr>
              <w:t>Screen</w:t>
            </w:r>
          </w:p>
        </w:tc>
        <w:tc>
          <w:tcPr>
            <w:tcW w:type="dxa" w:w="2592"/>
            <w:shd w:fill="0B2240"/>
            <w:tcMar>
              <w:top w:w="90" w:type="dxa"/>
              <w:bottom w:w="90" w:type="dxa"/>
              <w:left w:w="120" w:type="dxa"/>
              <w:right w:w="120" w:type="dxa"/>
            </w:tcMar>
            <w:vAlign w:val="center"/>
          </w:tcPr>
          <w:p>
            <w:pPr>
              <w:spacing w:before="40" w:after="40"/>
            </w:pPr>
            <w:r>
              <w:rPr>
                <w:rFonts w:ascii="Calibri" w:hAnsi="Calibri"/>
                <w:b/>
                <w:color w:val="FFFFFF"/>
                <w:sz w:val="18"/>
              </w:rPr>
              <w:t>DB Objects Used</w:t>
            </w:r>
          </w:p>
        </w:tc>
        <w:tc>
          <w:tcPr>
            <w:tcW w:type="dxa" w:w="2592"/>
            <w:shd w:fill="0B2240"/>
            <w:tcMar>
              <w:top w:w="90" w:type="dxa"/>
              <w:bottom w:w="90" w:type="dxa"/>
              <w:left w:w="120" w:type="dxa"/>
              <w:right w:w="120" w:type="dxa"/>
            </w:tcMar>
            <w:vAlign w:val="center"/>
          </w:tcPr>
          <w:p>
            <w:pPr>
              <w:spacing w:before="40" w:after="40"/>
            </w:pPr>
            <w:r>
              <w:rPr>
                <w:rFonts w:ascii="Calibri" w:hAnsi="Calibri"/>
                <w:b/>
                <w:color w:val="FFFFFF"/>
                <w:sz w:val="18"/>
              </w:rPr>
              <w:t>Lookups Used / Dropdown Fields</w:t>
            </w:r>
          </w:p>
        </w:tc>
        <w:tc>
          <w:tcPr>
            <w:tcW w:type="dxa" w:w="2016"/>
            <w:shd w:fill="0B2240"/>
            <w:tcMar>
              <w:top w:w="90" w:type="dxa"/>
              <w:bottom w:w="90" w:type="dxa"/>
              <w:left w:w="120" w:type="dxa"/>
              <w:right w:w="120" w:type="dxa"/>
            </w:tcMar>
            <w:vAlign w:val="center"/>
          </w:tcPr>
          <w:p>
            <w:pPr>
              <w:spacing w:before="40" w:after="40"/>
            </w:pPr>
            <w:r>
              <w:rPr>
                <w:rFonts w:ascii="Calibri" w:hAnsi="Calibri"/>
                <w:b/>
                <w:color w:val="FFFFFF"/>
                <w:sz w:val="18"/>
              </w:rPr>
              <w:t>Missing / Gap DB Objects</w:t>
            </w:r>
          </w:p>
        </w:tc>
        <w:tc>
          <w:tcPr>
            <w:tcW w:type="dxa" w:w="1008"/>
            <w:shd w:fill="0B2240"/>
            <w:tcMar>
              <w:top w:w="90" w:type="dxa"/>
              <w:bottom w:w="90" w:type="dxa"/>
              <w:left w:w="120" w:type="dxa"/>
              <w:right w:w="120" w:type="dxa"/>
            </w:tcMar>
            <w:vAlign w:val="center"/>
          </w:tcPr>
          <w:p>
            <w:pPr>
              <w:spacing w:before="40" w:after="40"/>
            </w:pPr>
            <w:r>
              <w:rPr>
                <w:rFonts w:ascii="Calibri" w:hAnsi="Calibri"/>
                <w:b/>
                <w:color w:val="FFFFFF"/>
                <w:sz w:val="18"/>
              </w:rPr>
              <w:t>Status</w:t>
            </w:r>
          </w:p>
        </w:tc>
      </w:tr>
      <w:tr>
        <w:tc>
          <w:tcPr>
            <w:tcW w:type="dxa" w:w="2880"/>
            <w:shd w:fill="FFFFFF"/>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Change Data Capture (CDC) Audit Log</w:t>
            </w:r>
          </w:p>
          <w:p>
            <w:pPr>
              <w:spacing w:before="30" w:after="30" w:line="252" w:lineRule="auto"/>
            </w:pPr>
            <w:r>
              <w:rPr>
                <w:rFonts w:ascii="Calibri" w:hAnsi="Calibri"/>
                <w:i/>
                <w:color w:val="026AA2"/>
                <w:sz w:val="17"/>
              </w:rPr>
              <w:t>audit-log</w:t>
            </w:r>
          </w:p>
          <w:p>
            <w:pPr>
              <w:spacing w:before="30" w:after="30" w:line="252" w:lineRule="auto"/>
            </w:pPr>
            <w:r>
              <w:rPr>
                <w:rFonts w:ascii="Calibri" w:hAnsi="Calibri"/>
                <w:color w:val="475467"/>
                <w:sz w:val="17"/>
              </w:rPr>
              <w:t>Comprehensive Change Data Capture log recording every INSERT, UPDATE, DELETE on financial tables with JSON before/after snapshots and user ID.</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ifms_budget.audit_change_log; app_user</w:t>
            </w:r>
          </w:p>
        </w:tc>
        <w:tc>
          <w:tcPr>
            <w:tcW w:type="dxa" w:w="2592"/>
            <w:shd w:fill="FFFFFF"/>
            <w:tcMar>
              <w:top w:w="60" w:type="dxa"/>
              <w:bottom w:w="60" w:type="dxa"/>
              <w:left w:w="100" w:type="dxa"/>
              <w:right w:w="100" w:type="dxa"/>
            </w:tcMar>
            <w:vAlign w:val="top"/>
          </w:tcPr>
          <w:p>
            <w:pPr>
              <w:spacing w:before="30" w:after="30" w:line="252" w:lineRule="auto"/>
            </w:pPr>
            <w:r>
              <w:rPr>
                <w:rFonts w:ascii="Calibri" w:hAnsi="Calibri"/>
                <w:sz w:val="17"/>
              </w:rPr>
              <w:t>CDC Operation (LOOKUP_CDC_OPERATION -&gt; ['I' (Insert), 'U' (Update), 'D' (Delete)])</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FFFFF"/>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r>
        <w:tc>
          <w:tcPr>
            <w:tcW w:type="dxa" w:w="2880"/>
            <w:shd w:fill="F8FAFC"/>
            <w:tcMar>
              <w:top w:w="60" w:type="dxa"/>
              <w:bottom w:w="60" w:type="dxa"/>
              <w:left w:w="100" w:type="dxa"/>
              <w:right w:w="100" w:type="dxa"/>
            </w:tcMar>
            <w:vAlign w:val="top"/>
          </w:tcPr>
          <w:p>
            <w:pPr>
              <w:spacing w:before="30" w:after="30" w:line="252" w:lineRule="auto"/>
            </w:pPr>
            <w:r>
              <w:rPr>
                <w:rFonts w:ascii="Calibri" w:hAnsi="Calibri"/>
                <w:sz w:val="17"/>
              </w:rPr>
            </w:r>
            <w:r>
              <w:rPr>
                <w:rFonts w:ascii="Calibri" w:hAnsi="Calibri"/>
                <w:b/>
                <w:color w:val="0B2240"/>
                <w:sz w:val="17"/>
              </w:rPr>
              <w:t>JSON Old vs New Differential Inspector</w:t>
            </w:r>
          </w:p>
          <w:p>
            <w:pPr>
              <w:spacing w:before="30" w:after="30" w:line="252" w:lineRule="auto"/>
            </w:pPr>
            <w:r>
              <w:rPr>
                <w:rFonts w:ascii="Calibri" w:hAnsi="Calibri"/>
                <w:i/>
                <w:color w:val="026AA2"/>
                <w:sz w:val="17"/>
              </w:rPr>
              <w:t>audit-diff</w:t>
            </w:r>
          </w:p>
          <w:p>
            <w:pPr>
              <w:spacing w:before="30" w:after="30" w:line="252" w:lineRule="auto"/>
            </w:pPr>
            <w:r>
              <w:rPr>
                <w:rFonts w:ascii="Calibri" w:hAnsi="Calibri"/>
                <w:color w:val="475467"/>
                <w:sz w:val="17"/>
              </w:rPr>
              <w:t>Modal inspector displaying visual green/red JSON attribute differences for modified reconciliation results, overrides, and vouchers.</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ifms_budget.audit_change_log</w:t>
            </w:r>
          </w:p>
        </w:tc>
        <w:tc>
          <w:tcPr>
            <w:tcW w:type="dxa" w:w="2592"/>
            <w:shd w:fill="F8FAFC"/>
            <w:tcMar>
              <w:top w:w="60" w:type="dxa"/>
              <w:bottom w:w="60" w:type="dxa"/>
              <w:left w:w="100" w:type="dxa"/>
              <w:right w:w="100" w:type="dxa"/>
            </w:tcMar>
            <w:vAlign w:val="top"/>
          </w:tcPr>
          <w:p>
            <w:pPr>
              <w:spacing w:before="30" w:after="30" w:line="252" w:lineRule="auto"/>
            </w:pPr>
            <w:r>
              <w:rPr>
                <w:rFonts w:ascii="Calibri" w:hAnsi="Calibri"/>
                <w:sz w:val="17"/>
              </w:rPr>
              <w:t>CDC Operation (LOOKUP_CDC_OPERATION)</w:t>
            </w:r>
          </w:p>
        </w:tc>
        <w:tc>
          <w:tcPr>
            <w:tcW w:type="dxa" w:w="2016"/>
            <w:shd w:fill="F8FAFC"/>
            <w:tcMar>
              <w:top w:w="60" w:type="dxa"/>
              <w:bottom w:w="60" w:type="dxa"/>
              <w:left w:w="100" w:type="dxa"/>
              <w:right w:w="100" w:type="dxa"/>
            </w:tcMar>
            <w:vAlign w:val="top"/>
          </w:tcPr>
          <w:p>
            <w:pPr>
              <w:spacing w:before="30" w:after="30" w:line="252" w:lineRule="auto"/>
            </w:pPr>
            <w:r>
              <w:rPr>
                <w:rFonts w:ascii="Calibri" w:hAnsi="Calibri"/>
                <w:sz w:val="17"/>
              </w:rPr>
              <w:t>None (Full)</w:t>
            </w:r>
          </w:p>
        </w:tc>
        <w:tc>
          <w:tcPr>
            <w:tcW w:type="dxa" w:w="1008"/>
            <w:shd w:fill="F8FAFC"/>
            <w:tcMar>
              <w:top w:w="60" w:type="dxa"/>
              <w:bottom w:w="60" w:type="dxa"/>
              <w:left w:w="100" w:type="dxa"/>
              <w:right w:w="100" w:type="dxa"/>
            </w:tcMar>
            <w:vAlign w:val="center"/>
            <w:shd w:fill="D1FADF"/>
          </w:tcPr>
          <w:p>
            <w:pPr>
              <w:spacing w:before="30" w:after="30" w:line="252" w:lineRule="auto"/>
            </w:pPr>
            <w:r>
              <w:rPr>
                <w:rFonts w:ascii="Calibri" w:hAnsi="Calibri"/>
                <w:b/>
                <w:color w:val="027A48"/>
                <w:sz w:val="17"/>
              </w:rPr>
              <w:t>Full</w:t>
            </w:r>
          </w:p>
        </w:tc>
      </w:tr>
    </w:tbl>
    <w:p>
      <w:pPr>
        <w:spacing w:before="240" w:after="60"/>
      </w:pPr>
      <w:r>
        <w:rPr>
          <w:rFonts w:ascii="Calibri" w:hAnsi="Calibri"/>
          <w:b/>
          <w:color w:val="0B2240"/>
          <w:sz w:val="26"/>
        </w:rPr>
        <w:t>5. Entirely Covered &amp; Integrated Modules — Summary</w:t>
      </w:r>
    </w:p>
    <w:p>
      <w:r>
        <w:t>Unlike legacy modules requiring greenfield database object creation, the IFMS Revenue Management module has complete physical backing across all operational dimensions. The table below consolidates the functional capabilities and supporting database objects:</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696"/>
        <w:gridCol w:w="3696"/>
        <w:gridCol w:w="3696"/>
      </w:tblGrid>
      <w:tr>
        <w:tc>
          <w:tcPr>
            <w:tcW w:type="dxa" w:w="3168"/>
            <w:shd w:fill="0B2240"/>
            <w:tcMar>
              <w:top w:w="90" w:type="dxa"/>
              <w:bottom w:w="90" w:type="dxa"/>
              <w:left w:w="120" w:type="dxa"/>
              <w:right w:w="120" w:type="dxa"/>
            </w:tcMar>
            <w:vAlign w:val="center"/>
          </w:tcPr>
          <w:p>
            <w:pPr>
              <w:spacing w:before="40" w:after="40"/>
            </w:pPr>
            <w:r>
              <w:rPr>
                <w:rFonts w:ascii="Calibri" w:hAnsi="Calibri"/>
                <w:b/>
                <w:color w:val="FFFFFF"/>
                <w:sz w:val="18"/>
              </w:rPr>
              <w:t>Functional Module</w:t>
            </w:r>
          </w:p>
        </w:tc>
        <w:tc>
          <w:tcPr>
            <w:tcW w:type="dxa" w:w="2016"/>
            <w:shd w:fill="0B2240"/>
            <w:tcMar>
              <w:top w:w="90" w:type="dxa"/>
              <w:bottom w:w="90" w:type="dxa"/>
              <w:left w:w="120" w:type="dxa"/>
              <w:right w:w="120" w:type="dxa"/>
            </w:tcMar>
            <w:vAlign w:val="center"/>
          </w:tcPr>
          <w:p>
            <w:pPr>
              <w:spacing w:before="40" w:after="40"/>
            </w:pPr>
            <w:r>
              <w:rPr>
                <w:rFonts w:ascii="Calibri" w:hAnsi="Calibri"/>
                <w:b/>
                <w:color w:val="FFFFFF"/>
                <w:sz w:val="18"/>
              </w:rPr>
              <w:t>Screens / Modals</w:t>
            </w:r>
          </w:p>
        </w:tc>
        <w:tc>
          <w:tcPr>
            <w:tcW w:type="dxa" w:w="5904"/>
            <w:shd w:fill="0B2240"/>
            <w:tcMar>
              <w:top w:w="90" w:type="dxa"/>
              <w:bottom w:w="90" w:type="dxa"/>
              <w:left w:w="120" w:type="dxa"/>
              <w:right w:w="120" w:type="dxa"/>
            </w:tcMar>
            <w:vAlign w:val="center"/>
          </w:tcPr>
          <w:p>
            <w:pPr>
              <w:spacing w:before="40" w:after="40"/>
            </w:pPr>
            <w:r>
              <w:rPr>
                <w:rFonts w:ascii="Calibri" w:hAnsi="Calibri"/>
                <w:b/>
                <w:color w:val="FFFFFF"/>
                <w:sz w:val="18"/>
              </w:rPr>
              <w:t>Supporting Database Objects &amp; Stored Engines</w:t>
            </w:r>
          </w:p>
        </w:tc>
      </w:tr>
      <w:tr>
        <w:tc>
          <w:tcPr>
            <w:tcW w:type="dxa" w:w="3168"/>
            <w:shd w:fill="FFFFFF"/>
            <w:tcMar>
              <w:top w:w="60" w:type="dxa"/>
              <w:bottom w:w="60" w:type="dxa"/>
              <w:left w:w="100" w:type="dxa"/>
              <w:right w:w="100" w:type="dxa"/>
            </w:tcMar>
            <w:vAlign w:val="top"/>
          </w:tcPr>
          <w:p>
            <w:pPr>
              <w:spacing w:before="30" w:after="30" w:line="252" w:lineRule="auto"/>
            </w:pPr>
            <w:r>
              <w:rPr>
                <w:rFonts w:ascii="Calibri" w:hAnsi="Calibri"/>
                <w:sz w:val="17"/>
              </w:rPr>
              <w:t>0. Navigation Shell</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3 components</w:t>
            </w:r>
          </w:p>
        </w:tc>
        <w:tc>
          <w:tcPr>
            <w:tcW w:type="dxa" w:w="5904"/>
            <w:shd w:fill="FFFFFF"/>
            <w:tcMar>
              <w:top w:w="60" w:type="dxa"/>
              <w:bottom w:w="60" w:type="dxa"/>
              <w:left w:w="100" w:type="dxa"/>
              <w:right w:w="100" w:type="dxa"/>
            </w:tcMar>
            <w:vAlign w:val="top"/>
          </w:tcPr>
          <w:p>
            <w:pPr>
              <w:spacing w:before="30" w:after="30" w:line="252" w:lineRule="auto"/>
            </w:pPr>
            <w:r>
              <w:rPr>
                <w:rFonts w:ascii="Calibri" w:hAnsi="Calibri"/>
                <w:sz w:val="17"/>
              </w:rPr>
              <w:t>app_user, role, branch, rev_system_config, rev_system_notifications</w:t>
            </w:r>
          </w:p>
        </w:tc>
      </w:tr>
      <w:tr>
        <w:tc>
          <w:tcPr>
            <w:tcW w:type="dxa" w:w="3168"/>
            <w:shd w:fill="F8FAFC"/>
            <w:tcMar>
              <w:top w:w="60" w:type="dxa"/>
              <w:bottom w:w="60" w:type="dxa"/>
              <w:left w:w="100" w:type="dxa"/>
              <w:right w:w="100" w:type="dxa"/>
            </w:tcMar>
            <w:vAlign w:val="top"/>
          </w:tcPr>
          <w:p>
            <w:pPr>
              <w:spacing w:before="30" w:after="30" w:line="252" w:lineRule="auto"/>
            </w:pPr>
            <w:r>
              <w:rPr>
                <w:rFonts w:ascii="Calibri" w:hAnsi="Calibri"/>
                <w:sz w:val="17"/>
              </w:rPr>
              <w:t>1. Dashboard &amp; Monitoring</w:t>
            </w:r>
          </w:p>
        </w:tc>
        <w:tc>
          <w:tcPr>
            <w:tcW w:type="dxa" w:w="2016"/>
            <w:shd w:fill="F8FAFC"/>
            <w:tcMar>
              <w:top w:w="60" w:type="dxa"/>
              <w:bottom w:w="60" w:type="dxa"/>
              <w:left w:w="100" w:type="dxa"/>
              <w:right w:w="100" w:type="dxa"/>
            </w:tcMar>
            <w:vAlign w:val="top"/>
          </w:tcPr>
          <w:p>
            <w:pPr>
              <w:spacing w:before="30" w:after="30" w:line="252" w:lineRule="auto"/>
            </w:pPr>
            <w:r>
              <w:rPr>
                <w:rFonts w:ascii="Calibri" w:hAnsi="Calibri"/>
                <w:sz w:val="17"/>
              </w:rPr>
              <w:t>4 screens</w:t>
            </w:r>
          </w:p>
        </w:tc>
        <w:tc>
          <w:tcPr>
            <w:tcW w:type="dxa" w:w="5904"/>
            <w:shd w:fill="F8FAFC"/>
            <w:tcMar>
              <w:top w:w="60" w:type="dxa"/>
              <w:bottom w:w="60" w:type="dxa"/>
              <w:left w:w="100" w:type="dxa"/>
              <w:right w:w="100" w:type="dxa"/>
            </w:tcMar>
            <w:vAlign w:val="top"/>
          </w:tcPr>
          <w:p>
            <w:pPr>
              <w:spacing w:before="30" w:after="30" w:line="252" w:lineRule="auto"/>
            </w:pPr>
            <w:r>
              <w:rPr>
                <w:rFonts w:ascii="Calibri" w:hAnsi="Calibri"/>
                <w:sz w:val="17"/>
              </w:rPr>
              <w:t>rev_vw_dashboard_kpis, rev_vw_3way_recon_summary, rev_recon_result, rev_penal_claim</w:t>
            </w:r>
          </w:p>
        </w:tc>
      </w:tr>
      <w:tr>
        <w:tc>
          <w:tcPr>
            <w:tcW w:type="dxa" w:w="3168"/>
            <w:shd w:fill="FFFFFF"/>
            <w:tcMar>
              <w:top w:w="60" w:type="dxa"/>
              <w:bottom w:w="60" w:type="dxa"/>
              <w:left w:w="100" w:type="dxa"/>
              <w:right w:w="100" w:type="dxa"/>
            </w:tcMar>
            <w:vAlign w:val="top"/>
          </w:tcPr>
          <w:p>
            <w:pPr>
              <w:spacing w:before="30" w:after="30" w:line="252" w:lineRule="auto"/>
            </w:pPr>
            <w:r>
              <w:rPr>
                <w:rFonts w:ascii="Calibri" w:hAnsi="Calibri"/>
                <w:sz w:val="17"/>
              </w:rPr>
              <w:t>2. Revenue Staging &amp; Ingestion</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4 screens</w:t>
            </w:r>
          </w:p>
        </w:tc>
        <w:tc>
          <w:tcPr>
            <w:tcW w:type="dxa" w:w="5904"/>
            <w:shd w:fill="FFFFFF"/>
            <w:tcMar>
              <w:top w:w="60" w:type="dxa"/>
              <w:bottom w:w="60" w:type="dxa"/>
              <w:left w:w="100" w:type="dxa"/>
              <w:right w:w="100" w:type="dxa"/>
            </w:tcMar>
            <w:vAlign w:val="top"/>
          </w:tcPr>
          <w:p>
            <w:pPr>
              <w:spacing w:before="30" w:after="30" w:line="252" w:lineRule="auto"/>
            </w:pPr>
            <w:r>
              <w:rPr>
                <w:rFonts w:ascii="Calibri" w:hAnsi="Calibri"/>
                <w:sz w:val="17"/>
              </w:rPr>
              <w:t>rev_portal_transaction_staging, rev_revenue_source, department, audit_change_log</w:t>
            </w:r>
          </w:p>
        </w:tc>
      </w:tr>
      <w:tr>
        <w:tc>
          <w:tcPr>
            <w:tcW w:type="dxa" w:w="3168"/>
            <w:shd w:fill="F8FAFC"/>
            <w:tcMar>
              <w:top w:w="60" w:type="dxa"/>
              <w:bottom w:w="60" w:type="dxa"/>
              <w:left w:w="100" w:type="dxa"/>
              <w:right w:w="100" w:type="dxa"/>
            </w:tcMar>
            <w:vAlign w:val="top"/>
          </w:tcPr>
          <w:p>
            <w:pPr>
              <w:spacing w:before="30" w:after="30" w:line="252" w:lineRule="auto"/>
            </w:pPr>
            <w:r>
              <w:rPr>
                <w:rFonts w:ascii="Calibri" w:hAnsi="Calibri"/>
                <w:sz w:val="17"/>
              </w:rPr>
              <w:t>3. Data Upload Centre</w:t>
            </w:r>
          </w:p>
        </w:tc>
        <w:tc>
          <w:tcPr>
            <w:tcW w:type="dxa" w:w="2016"/>
            <w:shd w:fill="F8FAFC"/>
            <w:tcMar>
              <w:top w:w="60" w:type="dxa"/>
              <w:bottom w:w="60" w:type="dxa"/>
              <w:left w:w="100" w:type="dxa"/>
              <w:right w:w="100" w:type="dxa"/>
            </w:tcMar>
            <w:vAlign w:val="top"/>
          </w:tcPr>
          <w:p>
            <w:pPr>
              <w:spacing w:before="30" w:after="30" w:line="252" w:lineRule="auto"/>
            </w:pPr>
            <w:r>
              <w:rPr>
                <w:rFonts w:ascii="Calibri" w:hAnsi="Calibri"/>
                <w:sz w:val="17"/>
              </w:rPr>
              <w:t>3 screens</w:t>
            </w:r>
          </w:p>
        </w:tc>
        <w:tc>
          <w:tcPr>
            <w:tcW w:type="dxa" w:w="5904"/>
            <w:shd w:fill="F8FAFC"/>
            <w:tcMar>
              <w:top w:w="60" w:type="dxa"/>
              <w:bottom w:w="60" w:type="dxa"/>
              <w:left w:w="100" w:type="dxa"/>
              <w:right w:w="100" w:type="dxa"/>
            </w:tcMar>
            <w:vAlign w:val="top"/>
          </w:tcPr>
          <w:p>
            <w:pPr>
              <w:spacing w:before="30" w:after="30" w:line="252" w:lineRule="auto"/>
            </w:pPr>
            <w:r>
              <w:rPr>
                <w:rFonts w:ascii="Calibri" w:hAnsi="Calibri"/>
                <w:sz w:val="17"/>
              </w:rPr>
              <w:t>rev_upload_batch, rev_upload_rejected_row, agency_bank, branch</w:t>
            </w:r>
          </w:p>
        </w:tc>
      </w:tr>
      <w:tr>
        <w:tc>
          <w:tcPr>
            <w:tcW w:type="dxa" w:w="3168"/>
            <w:shd w:fill="FFFFFF"/>
            <w:tcMar>
              <w:top w:w="60" w:type="dxa"/>
              <w:bottom w:w="60" w:type="dxa"/>
              <w:left w:w="100" w:type="dxa"/>
              <w:right w:w="100" w:type="dxa"/>
            </w:tcMar>
            <w:vAlign w:val="top"/>
          </w:tcPr>
          <w:p>
            <w:pPr>
              <w:spacing w:before="30" w:after="30" w:line="252" w:lineRule="auto"/>
            </w:pPr>
            <w:r>
              <w:rPr>
                <w:rFonts w:ascii="Calibri" w:hAnsi="Calibri"/>
                <w:sz w:val="17"/>
              </w:rPr>
              <w:t>4. Reconciliation Workbench</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6 screens / modals</w:t>
            </w:r>
          </w:p>
        </w:tc>
        <w:tc>
          <w:tcPr>
            <w:tcW w:type="dxa" w:w="5904"/>
            <w:shd w:fill="FFFFFF"/>
            <w:tcMar>
              <w:top w:w="60" w:type="dxa"/>
              <w:bottom w:w="60" w:type="dxa"/>
              <w:left w:w="100" w:type="dxa"/>
              <w:right w:w="100" w:type="dxa"/>
            </w:tcMar>
            <w:vAlign w:val="top"/>
          </w:tcPr>
          <w:p>
            <w:pPr>
              <w:spacing w:before="30" w:after="30" w:line="252" w:lineRule="auto"/>
            </w:pPr>
            <w:r>
              <w:rPr>
                <w:rFonts w:ascii="Calibri" w:hAnsi="Calibri"/>
                <w:sz w:val="17"/>
              </w:rPr>
              <w:t>rev_recon_result, rev_recon_run, rev_recon_leg_linkage, rev_recon_override, rev_suspense_register, rev_exception_letter, ReconEngine</w:t>
            </w:r>
          </w:p>
        </w:tc>
      </w:tr>
      <w:tr>
        <w:tc>
          <w:tcPr>
            <w:tcW w:type="dxa" w:w="3168"/>
            <w:shd w:fill="F8FAFC"/>
            <w:tcMar>
              <w:top w:w="60" w:type="dxa"/>
              <w:bottom w:w="60" w:type="dxa"/>
              <w:left w:w="100" w:type="dxa"/>
              <w:right w:w="100" w:type="dxa"/>
            </w:tcMar>
            <w:vAlign w:val="top"/>
          </w:tcPr>
          <w:p>
            <w:pPr>
              <w:spacing w:before="30" w:after="30" w:line="252" w:lineRule="auto"/>
            </w:pPr>
            <w:r>
              <w:rPr>
                <w:rFonts w:ascii="Calibri" w:hAnsi="Calibri"/>
                <w:sz w:val="17"/>
              </w:rPr>
              <w:t>5. Exceptions &amp; Investigations</w:t>
            </w:r>
          </w:p>
        </w:tc>
        <w:tc>
          <w:tcPr>
            <w:tcW w:type="dxa" w:w="2016"/>
            <w:shd w:fill="F8FAFC"/>
            <w:tcMar>
              <w:top w:w="60" w:type="dxa"/>
              <w:bottom w:w="60" w:type="dxa"/>
              <w:left w:w="100" w:type="dxa"/>
              <w:right w:w="100" w:type="dxa"/>
            </w:tcMar>
            <w:vAlign w:val="top"/>
          </w:tcPr>
          <w:p>
            <w:pPr>
              <w:spacing w:before="30" w:after="30" w:line="252" w:lineRule="auto"/>
            </w:pPr>
            <w:r>
              <w:rPr>
                <w:rFonts w:ascii="Calibri" w:hAnsi="Calibri"/>
                <w:sz w:val="17"/>
              </w:rPr>
              <w:t>3 screens / drawers</w:t>
            </w:r>
          </w:p>
        </w:tc>
        <w:tc>
          <w:tcPr>
            <w:tcW w:type="dxa" w:w="5904"/>
            <w:shd w:fill="F8FAFC"/>
            <w:tcMar>
              <w:top w:w="60" w:type="dxa"/>
              <w:bottom w:w="60" w:type="dxa"/>
              <w:left w:w="100" w:type="dxa"/>
              <w:right w:w="100" w:type="dxa"/>
            </w:tcMar>
            <w:vAlign w:val="top"/>
          </w:tcPr>
          <w:p>
            <w:pPr>
              <w:spacing w:before="30" w:after="30" w:line="252" w:lineRule="auto"/>
            </w:pPr>
            <w:r>
              <w:rPr>
                <w:rFonts w:ascii="Calibri" w:hAnsi="Calibri"/>
                <w:sz w:val="17"/>
              </w:rPr>
              <w:t>rev_exception, rev_exception_note, audit_change_log, rev_system_notifications</w:t>
            </w:r>
          </w:p>
        </w:tc>
      </w:tr>
      <w:tr>
        <w:tc>
          <w:tcPr>
            <w:tcW w:type="dxa" w:w="3168"/>
            <w:shd w:fill="FFFFFF"/>
            <w:tcMar>
              <w:top w:w="60" w:type="dxa"/>
              <w:bottom w:w="60" w:type="dxa"/>
              <w:left w:w="100" w:type="dxa"/>
              <w:right w:w="100" w:type="dxa"/>
            </w:tcMar>
            <w:vAlign w:val="top"/>
          </w:tcPr>
          <w:p>
            <w:pPr>
              <w:spacing w:before="30" w:after="30" w:line="252" w:lineRule="auto"/>
            </w:pPr>
            <w:r>
              <w:rPr>
                <w:rFonts w:ascii="Calibri" w:hAnsi="Calibri"/>
                <w:sz w:val="17"/>
              </w:rPr>
              <w:t>6. Bank SLA &amp; Penal Interest</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4 screens / modals</w:t>
            </w:r>
          </w:p>
        </w:tc>
        <w:tc>
          <w:tcPr>
            <w:tcW w:type="dxa" w:w="5904"/>
            <w:shd w:fill="FFFFFF"/>
            <w:tcMar>
              <w:top w:w="60" w:type="dxa"/>
              <w:bottom w:w="60" w:type="dxa"/>
              <w:left w:w="100" w:type="dxa"/>
              <w:right w:w="100" w:type="dxa"/>
            </w:tcMar>
            <w:vAlign w:val="top"/>
          </w:tcPr>
          <w:p>
            <w:pPr>
              <w:spacing w:before="30" w:after="30" w:line="252" w:lineRule="auto"/>
            </w:pPr>
            <w:r>
              <w:rPr>
                <w:rFonts w:ascii="Calibri" w:hAnsi="Calibri"/>
                <w:sz w:val="17"/>
              </w:rPr>
              <w:t>rev_vw_bank_sla_performance, rev_sla_rule, rev_penal_claim, rev_penal_letter, rev_penal_bank_response, rev_penal_waiver, SlaService</w:t>
            </w:r>
          </w:p>
        </w:tc>
      </w:tr>
      <w:tr>
        <w:tc>
          <w:tcPr>
            <w:tcW w:type="dxa" w:w="3168"/>
            <w:shd w:fill="F8FAFC"/>
            <w:tcMar>
              <w:top w:w="60" w:type="dxa"/>
              <w:bottom w:w="60" w:type="dxa"/>
              <w:left w:w="100" w:type="dxa"/>
              <w:right w:w="100" w:type="dxa"/>
            </w:tcMar>
            <w:vAlign w:val="top"/>
          </w:tcPr>
          <w:p>
            <w:pPr>
              <w:spacing w:before="30" w:after="30" w:line="252" w:lineRule="auto"/>
            </w:pPr>
            <w:r>
              <w:rPr>
                <w:rFonts w:ascii="Calibri" w:hAnsi="Calibri"/>
                <w:sz w:val="17"/>
              </w:rPr>
              <w:t>7. Citizen Revenue Refunds</w:t>
            </w:r>
          </w:p>
        </w:tc>
        <w:tc>
          <w:tcPr>
            <w:tcW w:type="dxa" w:w="2016"/>
            <w:shd w:fill="F8FAFC"/>
            <w:tcMar>
              <w:top w:w="60" w:type="dxa"/>
              <w:bottom w:w="60" w:type="dxa"/>
              <w:left w:w="100" w:type="dxa"/>
              <w:right w:w="100" w:type="dxa"/>
            </w:tcMar>
            <w:vAlign w:val="top"/>
          </w:tcPr>
          <w:p>
            <w:pPr>
              <w:spacing w:before="30" w:after="30" w:line="252" w:lineRule="auto"/>
            </w:pPr>
            <w:r>
              <w:rPr>
                <w:rFonts w:ascii="Calibri" w:hAnsi="Calibri"/>
                <w:sz w:val="17"/>
              </w:rPr>
              <w:t>5 screens / modals</w:t>
            </w:r>
          </w:p>
        </w:tc>
        <w:tc>
          <w:tcPr>
            <w:tcW w:type="dxa" w:w="5904"/>
            <w:shd w:fill="F8FAFC"/>
            <w:tcMar>
              <w:top w:w="60" w:type="dxa"/>
              <w:bottom w:w="60" w:type="dxa"/>
              <w:left w:w="100" w:type="dxa"/>
              <w:right w:w="100" w:type="dxa"/>
            </w:tcMar>
            <w:vAlign w:val="top"/>
          </w:tcPr>
          <w:p>
            <w:pPr>
              <w:spacing w:before="30" w:after="30" w:line="252" w:lineRule="auto"/>
            </w:pPr>
            <w:r>
              <w:rPr>
                <w:rFonts w:ascii="Calibri" w:hAnsi="Calibri"/>
                <w:sz w:val="17"/>
              </w:rPr>
              <w:t>rev_refund_case, rev_refund_verification, rev_refund_bill, chart_of_account, ddo, branch</w:t>
            </w:r>
          </w:p>
        </w:tc>
      </w:tr>
      <w:tr>
        <w:tc>
          <w:tcPr>
            <w:tcW w:type="dxa" w:w="3168"/>
            <w:shd w:fill="FFFFFF"/>
            <w:tcMar>
              <w:top w:w="60" w:type="dxa"/>
              <w:bottom w:w="60" w:type="dxa"/>
              <w:left w:w="100" w:type="dxa"/>
              <w:right w:w="100" w:type="dxa"/>
            </w:tcMar>
            <w:vAlign w:val="top"/>
          </w:tcPr>
          <w:p>
            <w:pPr>
              <w:spacing w:before="30" w:after="30" w:line="252" w:lineRule="auto"/>
            </w:pPr>
            <w:r>
              <w:rPr>
                <w:rFonts w:ascii="Calibri" w:hAnsi="Calibri"/>
                <w:sz w:val="17"/>
              </w:rPr>
              <w:t>8. Revenue Devolution</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3 screens</w:t>
            </w:r>
          </w:p>
        </w:tc>
        <w:tc>
          <w:tcPr>
            <w:tcW w:type="dxa" w:w="5904"/>
            <w:shd w:fill="FFFFFF"/>
            <w:tcMar>
              <w:top w:w="60" w:type="dxa"/>
              <w:bottom w:w="60" w:type="dxa"/>
              <w:left w:w="100" w:type="dxa"/>
              <w:right w:w="100" w:type="dxa"/>
            </w:tcMar>
            <w:vAlign w:val="top"/>
          </w:tcPr>
          <w:p>
            <w:pPr>
              <w:spacing w:before="30" w:after="30" w:line="252" w:lineRule="auto"/>
            </w:pPr>
            <w:r>
              <w:rPr>
                <w:rFonts w:ascii="Calibri" w:hAnsi="Calibri"/>
                <w:sz w:val="17"/>
              </w:rPr>
              <w:t>rev_devolution_rule, rev_devolution_computation, rev_devolution_advice, rev_local_body, DevolutionService</w:t>
            </w:r>
          </w:p>
        </w:tc>
      </w:tr>
      <w:tr>
        <w:tc>
          <w:tcPr>
            <w:tcW w:type="dxa" w:w="3168"/>
            <w:shd w:fill="F8FAFC"/>
            <w:tcMar>
              <w:top w:w="60" w:type="dxa"/>
              <w:bottom w:w="60" w:type="dxa"/>
              <w:left w:w="100" w:type="dxa"/>
              <w:right w:w="100" w:type="dxa"/>
            </w:tcMar>
            <w:vAlign w:val="top"/>
          </w:tcPr>
          <w:p>
            <w:pPr>
              <w:spacing w:before="30" w:after="30" w:line="252" w:lineRule="auto"/>
            </w:pPr>
            <w:r>
              <w:rPr>
                <w:rFonts w:ascii="Calibri" w:hAnsi="Calibri"/>
                <w:sz w:val="17"/>
              </w:rPr>
              <w:t>9. Accounting &amp; GL Posting</w:t>
            </w:r>
          </w:p>
        </w:tc>
        <w:tc>
          <w:tcPr>
            <w:tcW w:type="dxa" w:w="2016"/>
            <w:shd w:fill="F8FAFC"/>
            <w:tcMar>
              <w:top w:w="60" w:type="dxa"/>
              <w:bottom w:w="60" w:type="dxa"/>
              <w:left w:w="100" w:type="dxa"/>
              <w:right w:w="100" w:type="dxa"/>
            </w:tcMar>
            <w:vAlign w:val="top"/>
          </w:tcPr>
          <w:p>
            <w:pPr>
              <w:spacing w:before="30" w:after="30" w:line="252" w:lineRule="auto"/>
            </w:pPr>
            <w:r>
              <w:rPr>
                <w:rFonts w:ascii="Calibri" w:hAnsi="Calibri"/>
                <w:sz w:val="17"/>
              </w:rPr>
              <w:t>3 screens / drawers</w:t>
            </w:r>
          </w:p>
        </w:tc>
        <w:tc>
          <w:tcPr>
            <w:tcW w:type="dxa" w:w="5904"/>
            <w:shd w:fill="F8FAFC"/>
            <w:tcMar>
              <w:top w:w="60" w:type="dxa"/>
              <w:bottom w:w="60" w:type="dxa"/>
              <w:left w:w="100" w:type="dxa"/>
              <w:right w:w="100" w:type="dxa"/>
            </w:tcMar>
            <w:vAlign w:val="top"/>
          </w:tcPr>
          <w:p>
            <w:pPr>
              <w:spacing w:before="30" w:after="30" w:line="252" w:lineRule="auto"/>
            </w:pPr>
            <w:r>
              <w:rPr>
                <w:rFonts w:ascii="Calibri" w:hAnsi="Calibri"/>
                <w:sz w:val="17"/>
              </w:rPr>
              <w:t>rev_recon_result, rev_suspense_register, rev_vw_suspense_and_rat, account_voucher, chart_of_account, branch, ddo</w:t>
            </w:r>
          </w:p>
        </w:tc>
      </w:tr>
      <w:tr>
        <w:tc>
          <w:tcPr>
            <w:tcW w:type="dxa" w:w="3168"/>
            <w:shd w:fill="FFFFFF"/>
            <w:tcMar>
              <w:top w:w="60" w:type="dxa"/>
              <w:bottom w:w="60" w:type="dxa"/>
              <w:left w:w="100" w:type="dxa"/>
              <w:right w:w="100" w:type="dxa"/>
            </w:tcMar>
            <w:vAlign w:val="top"/>
          </w:tcPr>
          <w:p>
            <w:pPr>
              <w:spacing w:before="30" w:after="30" w:line="252" w:lineRule="auto"/>
            </w:pPr>
            <w:r>
              <w:rPr>
                <w:rFonts w:ascii="Calibri" w:hAnsi="Calibri"/>
                <w:sz w:val="17"/>
              </w:rPr>
              <w:t>10. Reports &amp; MIS</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7 statements</w:t>
            </w:r>
          </w:p>
        </w:tc>
        <w:tc>
          <w:tcPr>
            <w:tcW w:type="dxa" w:w="5904"/>
            <w:shd w:fill="FFFFFF"/>
            <w:tcMar>
              <w:top w:w="60" w:type="dxa"/>
              <w:bottom w:w="60" w:type="dxa"/>
              <w:left w:w="100" w:type="dxa"/>
              <w:right w:w="100" w:type="dxa"/>
            </w:tcMar>
            <w:vAlign w:val="top"/>
          </w:tcPr>
          <w:p>
            <w:pPr>
              <w:spacing w:before="30" w:after="30" w:line="252" w:lineRule="auto"/>
            </w:pPr>
            <w:r>
              <w:rPr>
                <w:rFonts w:ascii="Calibri" w:hAnsi="Calibri"/>
                <w:sz w:val="17"/>
              </w:rPr>
              <w:t>rev_vw_3way_recon_summary, rev_recon_result, rev_vw_bank_sla_performance, account_voucher, rev_refund_case, rev_devolution_advice, rev_suspense_register</w:t>
            </w:r>
          </w:p>
        </w:tc>
      </w:tr>
      <w:tr>
        <w:tc>
          <w:tcPr>
            <w:tcW w:type="dxa" w:w="3168"/>
            <w:shd w:fill="F8FAFC"/>
            <w:tcMar>
              <w:top w:w="60" w:type="dxa"/>
              <w:bottom w:w="60" w:type="dxa"/>
              <w:left w:w="100" w:type="dxa"/>
              <w:right w:w="100" w:type="dxa"/>
            </w:tcMar>
            <w:vAlign w:val="top"/>
          </w:tcPr>
          <w:p>
            <w:pPr>
              <w:spacing w:before="30" w:after="30" w:line="252" w:lineRule="auto"/>
            </w:pPr>
            <w:r>
              <w:rPr>
                <w:rFonts w:ascii="Calibri" w:hAnsi="Calibri"/>
                <w:sz w:val="17"/>
              </w:rPr>
              <w:t>11. Masters &amp; Configuration</w:t>
            </w:r>
          </w:p>
        </w:tc>
        <w:tc>
          <w:tcPr>
            <w:tcW w:type="dxa" w:w="2016"/>
            <w:shd w:fill="F8FAFC"/>
            <w:tcMar>
              <w:top w:w="60" w:type="dxa"/>
              <w:bottom w:w="60" w:type="dxa"/>
              <w:left w:w="100" w:type="dxa"/>
              <w:right w:w="100" w:type="dxa"/>
            </w:tcMar>
            <w:vAlign w:val="top"/>
          </w:tcPr>
          <w:p>
            <w:pPr>
              <w:spacing w:before="30" w:after="30" w:line="252" w:lineRule="auto"/>
            </w:pPr>
            <w:r>
              <w:rPr>
                <w:rFonts w:ascii="Calibri" w:hAnsi="Calibri"/>
                <w:sz w:val="17"/>
              </w:rPr>
              <w:t>11 tabs / subtabs</w:t>
            </w:r>
          </w:p>
        </w:tc>
        <w:tc>
          <w:tcPr>
            <w:tcW w:type="dxa" w:w="5904"/>
            <w:shd w:fill="F8FAFC"/>
            <w:tcMar>
              <w:top w:w="60" w:type="dxa"/>
              <w:bottom w:w="60" w:type="dxa"/>
              <w:left w:w="100" w:type="dxa"/>
              <w:right w:w="100" w:type="dxa"/>
            </w:tcMar>
            <w:vAlign w:val="top"/>
          </w:tcPr>
          <w:p>
            <w:pPr>
              <w:spacing w:before="30" w:after="30" w:line="252" w:lineRule="auto"/>
            </w:pPr>
            <w:r>
              <w:rPr>
                <w:rFonts w:ascii="Calibri" w:hAnsi="Calibri"/>
                <w:sz w:val="17"/>
              </w:rPr>
              <w:t>branch (PAO), department, ddo, agency_bank, bank_branch, rev_local_body, rev_revenue_portal, rev_revenue_source, chart_of_account, rev_sla_rule, rev_system_config</w:t>
            </w:r>
          </w:p>
        </w:tc>
      </w:tr>
      <w:tr>
        <w:tc>
          <w:tcPr>
            <w:tcW w:type="dxa" w:w="3168"/>
            <w:shd w:fill="FFFFFF"/>
            <w:tcMar>
              <w:top w:w="60" w:type="dxa"/>
              <w:bottom w:w="60" w:type="dxa"/>
              <w:left w:w="100" w:type="dxa"/>
              <w:right w:w="100" w:type="dxa"/>
            </w:tcMar>
            <w:vAlign w:val="top"/>
          </w:tcPr>
          <w:p>
            <w:pPr>
              <w:spacing w:before="30" w:after="30" w:line="252" w:lineRule="auto"/>
            </w:pPr>
            <w:r>
              <w:rPr>
                <w:rFonts w:ascii="Calibri" w:hAnsi="Calibri"/>
                <w:sz w:val="17"/>
              </w:rPr>
              <w:t>12. Audit Trail &amp; Governance</w:t>
            </w:r>
          </w:p>
        </w:tc>
        <w:tc>
          <w:tcPr>
            <w:tcW w:type="dxa" w:w="2016"/>
            <w:shd w:fill="FFFFFF"/>
            <w:tcMar>
              <w:top w:w="60" w:type="dxa"/>
              <w:bottom w:w="60" w:type="dxa"/>
              <w:left w:w="100" w:type="dxa"/>
              <w:right w:w="100" w:type="dxa"/>
            </w:tcMar>
            <w:vAlign w:val="top"/>
          </w:tcPr>
          <w:p>
            <w:pPr>
              <w:spacing w:before="30" w:after="30" w:line="252" w:lineRule="auto"/>
            </w:pPr>
            <w:r>
              <w:rPr>
                <w:rFonts w:ascii="Calibri" w:hAnsi="Calibri"/>
                <w:sz w:val="17"/>
              </w:rPr>
              <w:t>2 screens / modals</w:t>
            </w:r>
          </w:p>
        </w:tc>
        <w:tc>
          <w:tcPr>
            <w:tcW w:type="dxa" w:w="5904"/>
            <w:shd w:fill="FFFFFF"/>
            <w:tcMar>
              <w:top w:w="60" w:type="dxa"/>
              <w:bottom w:w="60" w:type="dxa"/>
              <w:left w:w="100" w:type="dxa"/>
              <w:right w:w="100" w:type="dxa"/>
            </w:tcMar>
            <w:vAlign w:val="top"/>
          </w:tcPr>
          <w:p>
            <w:pPr>
              <w:spacing w:before="30" w:after="30" w:line="252" w:lineRule="auto"/>
            </w:pPr>
            <w:r>
              <w:rPr>
                <w:rFonts w:ascii="Calibri" w:hAnsi="Calibri"/>
                <w:sz w:val="17"/>
              </w:rPr>
              <w:t>audit_change_log, app_user, JSON diff inspector</w:t>
            </w:r>
          </w:p>
        </w:tc>
      </w:tr>
    </w:tbl>
    <w:p>
      <w:pPr>
        <w:spacing w:before="240" w:after="60"/>
      </w:pPr>
      <w:r>
        <w:rPr>
          <w:rFonts w:ascii="Calibri" w:hAnsi="Calibri"/>
          <w:b/>
          <w:color w:val="0B2240"/>
          <w:sz w:val="26"/>
        </w:rPr>
        <w:t>6. Other Findings &amp; Recommendations</w:t>
      </w:r>
    </w:p>
    <w:p>
      <w:r>
        <w:t>6.1 Production Scaling &amp; Partitioning Recommendations:</w:t>
      </w:r>
    </w:p>
    <w:p>
      <w:pPr>
        <w:pStyle w:val="ListParagraph"/>
        <w:spacing w:before="20" w:after="40"/>
      </w:pPr>
      <w:r>
        <w:rPr>
          <w:b/>
        </w:rPr>
        <w:t xml:space="preserve">Staging Table Range Partitioning: </w:t>
      </w:r>
      <w:r>
        <w:t>rev_portal_transaction_staging, rev_agency_bank_scroll_staging, and rev_rbi_luggage_staging process several hundred thousand transactions monthly. Recommend applying declarative PostgreSQL range partitioning by payment_date / scroll_date (monthly intervals).</w:t>
      </w:r>
    </w:p>
    <w:p>
      <w:pPr>
        <w:pStyle w:val="ListParagraph"/>
        <w:spacing w:before="20" w:after="40"/>
      </w:pPr>
      <w:r>
        <w:rPr>
          <w:b/>
        </w:rPr>
        <w:t xml:space="preserve">Composite Reconciliation Indexes: </w:t>
      </w:r>
      <w:r>
        <w:t>Ensure composite B-Tree indexes exist on (challan_no, cin, cpin, amount) across all staging tables and rev_recon_result to guarantee sub-second 3-way matching performance.</w:t>
      </w:r>
    </w:p>
    <w:p>
      <w:pPr>
        <w:pStyle w:val="ListParagraph"/>
        <w:spacing w:before="20" w:after="40"/>
      </w:pPr>
      <w:r>
        <w:rPr>
          <w:b/>
        </w:rPr>
        <w:t xml:space="preserve">Lookup Caching Strategy: </w:t>
      </w:r>
      <w:r>
        <w:t>Implement in-memory Redis or FastAPI memory cache for static lookups (LOOKUP_PAO, LOOKUP_DEPARTMENT, LOOKUP_AGENCY_BANK, LOOKUP_PAYMENT_MODE) with a 24-hour TTL, invalidated automatically upon updates to master tables.</w:t>
      </w:r>
    </w:p>
    <w:p>
      <w:pPr>
        <w:pStyle w:val="ListParagraph"/>
        <w:spacing w:before="20" w:after="40"/>
      </w:pPr>
      <w:r>
        <w:rPr>
          <w:b/>
        </w:rPr>
        <w:t xml:space="preserve">Automated CDC Table Maintenance: </w:t>
      </w:r>
      <w:r>
        <w:t>The audit_change_log table stores complete JSON before-and-after snapshots. Recommend setting up automated table archiving to partitioned cold storage after 180 days to maintain peak transactional I/O.</w:t>
      </w:r>
    </w:p>
    <w:p>
      <w:r>
        <w:t>6.2 Governance &amp; Integrity Verification:</w:t>
      </w:r>
    </w:p>
    <w:p>
      <w:pPr>
        <w:pStyle w:val="ListParagraph"/>
        <w:spacing w:before="20" w:after="40"/>
      </w:pPr>
      <w:r>
        <w:rPr>
          <w:b/>
        </w:rPr>
        <w:t xml:space="preserve">Double-Entry GL Posting Guard: </w:t>
      </w:r>
      <w:r>
        <w:t>AccountingService.post_voucher_batch strictly verifies that rev_recon_result.booking_status == 'READY_FOR_BOOKING' and debits GOVT-RBI-RECEIPTS while crediting the functional revenue receipt head in account_voucher.</w:t>
      </w:r>
    </w:p>
    <w:p>
      <w:pPr>
        <w:pStyle w:val="ListParagraph"/>
        <w:spacing w:before="20" w:after="40"/>
      </w:pPr>
      <w:r>
        <w:rPr>
          <w:b/>
        </w:rPr>
        <w:t xml:space="preserve">Discrepancy Resolution Non-Repudiation: </w:t>
      </w:r>
      <w:r>
        <w:t>Every manual resolution via Solve Discrepancy enforces recording of a mandatory justification, an automated sanction reference (RES-YYYYMMDD-XXXXXX), and an immediate write to rev_recon_override and audit_change_log.</w:t>
      </w:r>
    </w:p>
    <w:p>
      <w:pPr>
        <w:pStyle w:val="ListParagraph"/>
        <w:spacing w:before="20" w:after="40"/>
      </w:pPr>
      <w:r>
        <w:rPr>
          <w:b/>
        </w:rPr>
        <w:t xml:space="preserve">Statutory Penal Notice Compliance: </w:t>
      </w:r>
      <w:r>
        <w:t>Penal interest demand notices generated via rev_penal_letter strictly cite the Government of NCT of Delhi Revenue SLA Rules (12.00% annual rate on pro-rata day basis) with isolated print stylesheets ensuring clean official correspondence.</w:t>
      </w:r>
    </w:p>
    <w:sectPr w:rsidR="00FC693F" w:rsidRPr="0006063C" w:rsidSect="00034616">
      <w:pgSz w:w="12240" w:h="15840"/>
      <w:pgMar w:top="648" w:right="576" w:bottom="648"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Calibri" w:hAnsi="Calibri"/>
      <w:color w:val="1D293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