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60"/>
        <w:jc w:val="center"/>
      </w:pPr>
      <w:r>
        <w:rPr>
          <w:rFonts w:ascii="Arial" w:cs="Arial" w:eastAsia="Arial" w:hAnsi="Arial"/>
          <w:b/>
          <w:bCs/>
          <w:color w:val="C0392B"/>
          <w:sz w:val="80"/>
          <w:szCs w:val="80"/>
        </w:rPr>
        <w:t xml:space="preserve">HERO FINCORP</w:t>
      </w:r>
    </w:p>
    <w:p>
      <w:pPr>
        <w:spacing w:after="120"/>
        <w:jc w:val="center"/>
      </w:pPr>
      <w:r>
        <w:rPr>
          <w:rFonts w:ascii="Arial" w:cs="Arial" w:eastAsia="Arial" w:hAnsi="Arial"/>
          <w:b/>
          <w:bCs/>
          <w:color w:val="1A1A2E"/>
          <w:sz w:val="44"/>
          <w:szCs w:val="44"/>
        </w:rPr>
        <w:t xml:space="preserve">Loan Portfolio — Comprehensive Data Analysis</w:t>
      </w:r>
    </w:p>
    <w:p>
      <w:pPr>
        <w:spacing w:after="360"/>
        <w:jc w:val="center"/>
      </w:pPr>
      <w:r>
        <w:rPr>
          <w:rFonts w:ascii="Arial" w:cs="Arial" w:eastAsia="Arial" w:hAnsi="Arial"/>
          <w:i/>
          <w:iCs/>
          <w:color w:val="2E86AB"/>
          <w:sz w:val="24"/>
          <w:szCs w:val="24"/>
        </w:rPr>
        <w:t xml:space="preserve">Key Insights Report  |  Visualisations  |  Recommendations  |  BRD Architecture &amp; ERD</w:t>
      </w:r>
    </w:p>
    <w:tbl>
      <w:tblPr>
        <w:tblW w:type="dxa" w:w="576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tblGrid>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Author</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Mani Dixit</w:t>
            </w:r>
          </w:p>
        </w:tc>
      </w:tr>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Tasks Answered</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16 of 20  (Task 15 not feasible — missing BRANCH_ID)</w:t>
            </w:r>
          </w:p>
        </w:tc>
      </w:tr>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Dataset</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6 CSVs — 90K loans · 70K customers · 495K transactions</w:t>
            </w:r>
          </w:p>
        </w:tc>
      </w:tr>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Charts</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18 charts generated from actual dataset</w:t>
            </w:r>
          </w:p>
        </w:tc>
      </w:tr>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GitHub</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github.com/manidixit16/Assignment-hero-fincorp-analysis</w:t>
            </w:r>
          </w:p>
        </w:tc>
      </w:tr>
      <w:tr>
        <w:tc>
          <w:tcPr>
            <w:tcW w:type="dxa" w:w="2880"/>
            <w:tcBorders>
              <w:top w:val="single" w:color="AAAAAA" w:sz="1"/>
              <w:left w:val="single" w:color="AAAAAA" w:sz="1"/>
              <w:bottom w:val="single" w:color="AAAAAA" w:sz="1"/>
              <w:right w:val="single" w:color="AAAAAA" w:sz="1"/>
            </w:tcBorders>
            <w:shd w:fill="F2F2F2" w:val="clear"/>
            <w:tcMar>
              <w:top w:type="dxa" w:w="90"/>
              <w:left w:type="dxa" w:w="140"/>
              <w:bottom w:type="dxa" w:w="90"/>
              <w:right w:type="dxa" w:w="140"/>
            </w:tcMar>
          </w:tcPr>
          <w:p>
            <w:r>
              <w:rPr>
                <w:rFonts w:ascii="Arial" w:cs="Arial" w:eastAsia="Arial" w:hAnsi="Arial"/>
                <w:b/>
                <w:bCs/>
                <w:color w:val="1A1A2E"/>
                <w:sz w:val="20"/>
                <w:szCs w:val="20"/>
              </w:rPr>
              <w:t xml:space="preserve">Date</w:t>
            </w:r>
          </w:p>
        </w:tc>
        <w:tc>
          <w:tcPr>
            <w:tcW w:type="dxa" w:w="2880"/>
            <w:tcBorders>
              <w:top w:val="single" w:color="AAAAAA" w:sz="1"/>
              <w:left w:val="single" w:color="AAAAAA" w:sz="1"/>
              <w:bottom w:val="single" w:color="AAAAAA" w:sz="1"/>
              <w:right w:val="single" w:color="AAAAAA" w:sz="1"/>
            </w:tcBorders>
            <w:shd w:fill="FFFFFF" w:val="clear"/>
            <w:tcMar>
              <w:top w:type="dxa" w:w="90"/>
              <w:left w:type="dxa" w:w="140"/>
              <w:bottom w:type="dxa" w:w="90"/>
              <w:right w:type="dxa" w:w="140"/>
            </w:tcMar>
          </w:tcPr>
          <w:p>
            <w:r>
              <w:rPr>
                <w:rFonts w:ascii="Arial" w:cs="Arial" w:eastAsia="Arial" w:hAnsi="Arial"/>
                <w:color w:val="2E86AB"/>
                <w:sz w:val="20"/>
                <w:szCs w:val="20"/>
              </w:rPr>
              <w:t xml:space="preserve">19 April 2026</w:t>
            </w:r>
          </w:p>
        </w:tc>
      </w:tr>
    </w:tbl>
    <w:p>
      <w:pPr>
        <w:spacing w:after="200"/>
      </w:pPr>
      <w:r>
        <w:t xml:space="preserve"/>
      </w:r>
    </w:p>
    <w:p>
      <w:r>
        <w:br w:type="page"/>
      </w:r>
    </w:p>
    <w:p>
      <w:pPr>
        <w:pStyle w:val="Heading1"/>
        <w:pBdr>
          <w:bottom w:val="single" w:color="C0392B" w:sz="10" w:space="6"/>
        </w:pBdr>
        <w:spacing w:after="160" w:before="360"/>
      </w:pPr>
      <w:r>
        <w:rPr>
          <w:rFonts w:ascii="Arial" w:cs="Arial" w:eastAsia="Arial" w:hAnsi="Arial"/>
          <w:b/>
          <w:bCs/>
          <w:color w:val="1A1A2E"/>
          <w:sz w:val="34"/>
          <w:szCs w:val="34"/>
        </w:rPr>
        <w:t xml:space="preserve">1. Assignment GitHub Repository</w:t>
      </w:r>
    </w:p>
    <w:p>
      <w:pPr>
        <w:spacing w:after="100"/>
      </w:pPr>
      <w:r>
        <w:t xml:space="preserve"/>
      </w:r>
    </w:p>
    <w:p>
      <w:pPr>
        <w:spacing w:after="160"/>
      </w:pPr>
      <w:r>
        <w:rPr>
          <w:rFonts w:ascii="Arial" w:cs="Arial" w:eastAsia="Arial" w:hAnsi="Arial"/>
          <w:b/>
          <w:bCs/>
          <w:color w:val="1A1A2E"/>
          <w:sz w:val="22"/>
          <w:szCs w:val="22"/>
        </w:rPr>
        <w:t xml:space="preserve">GitHub URL:  </w:t>
      </w:r>
      <w:hyperlink w:history="1" r:id="rIdfnqgo9fd7q7wdkeazm4e6">
        <w:r>
          <w:rPr>
            <w:rFonts w:ascii="Arial" w:cs="Arial" w:eastAsia="Arial" w:hAnsi="Arial"/>
            <w:color w:val="2E86AB"/>
            <w:sz w:val="22"/>
            <w:szCs w:val="22"/>
            <w:u w:val="single"/>
          </w:rPr>
          <w:t xml:space="preserve">https://github.com/manidixit16/Assignment-hero-fincorp-analysis.git</w:t>
        </w:r>
      </w:hyperlink>
    </w:p>
    <w:p>
      <w:pPr>
        <w:spacing w:after="140"/>
      </w:pPr>
      <w:r>
        <w:rPr>
          <w:rFonts w:ascii="Arial" w:cs="Arial" w:eastAsia="Arial" w:hAnsi="Arial"/>
          <w:b/>
          <w:bCs/>
          <w:color w:val="1A1A2E"/>
          <w:sz w:val="22"/>
          <w:szCs w:val="22"/>
        </w:rPr>
        <w:t xml:space="preserve">All Charts Folder:  </w:t>
      </w:r>
      <w:r>
        <w:rPr>
          <w:rFonts w:ascii="Arial" w:cs="Arial" w:eastAsia="Arial" w:hAnsi="Arial"/>
          <w:i/>
          <w:iCs/>
          <w:color w:val="1A1A2E"/>
          <w:sz w:val="22"/>
          <w:szCs w:val="22"/>
        </w:rPr>
        <w:t xml:space="preserve">Contains all plotted charts and graphs for the assignment</w:t>
      </w:r>
    </w:p>
    <w:p>
      <w:pPr>
        <w:spacing w:after="200"/>
      </w:pPr>
      <w:hyperlink w:history="1" r:id="rIdurbdgolkfkq9fadg5e2l1">
        <w:r>
          <w:rPr>
            <w:rFonts w:ascii="Arial" w:cs="Arial" w:eastAsia="Arial" w:hAnsi="Arial"/>
            <w:color w:val="2E86AB"/>
            <w:sz w:val="22"/>
            <w:szCs w:val="22"/>
            <w:u w:val="single"/>
          </w:rPr>
          <w:t xml:space="preserve">https://github.com/manidixit16/Assignment-hero-fincorp-analysis/tree/main/reports/figures</w:t>
        </w:r>
      </w:hyperlink>
    </w:p>
    <w:p>
      <w:pPr>
        <w:spacing w:after="200"/>
      </w:pPr>
      <w:r>
        <w:t xml:space="preserve"/>
      </w:r>
    </w:p>
    <w:p>
      <w:r>
        <w:br w:type="page"/>
      </w:r>
    </w:p>
    <w:p>
      <w:pPr>
        <w:pStyle w:val="Heading1"/>
        <w:pBdr>
          <w:bottom w:val="single" w:color="C0392B" w:sz="10" w:space="6"/>
        </w:pBdr>
        <w:spacing w:after="160" w:before="360"/>
      </w:pPr>
      <w:r>
        <w:rPr>
          <w:rFonts w:ascii="Arial" w:cs="Arial" w:eastAsia="Arial" w:hAnsi="Arial"/>
          <w:b/>
          <w:bCs/>
          <w:color w:val="1A1A2E"/>
          <w:sz w:val="34"/>
          <w:szCs w:val="34"/>
        </w:rPr>
        <w:t xml:space="preserve">2. Deliverable — Key Insights Report</w:t>
      </w:r>
    </w:p>
    <w:p>
      <w:pPr>
        <w:spacing w:after="100"/>
      </w:pPr>
      <w:r>
        <w:rPr>
          <w:rFonts w:ascii="Arial" w:cs="Arial" w:eastAsia="Arial" w:hAnsi="Arial"/>
          <w:color w:val="1A1A2E"/>
          <w:sz w:val="20"/>
          <w:szCs w:val="20"/>
        </w:rPr>
        <w:t xml:space="preserve">The sections below present findings from each of the 16 completed analysis tasks on the Hero FinCorp loan portfolio dataset.</w:t>
      </w:r>
    </w:p>
    <w:p>
      <w:pPr>
        <w:spacing w:after="100"/>
      </w:pPr>
      <w:r>
        <w:t xml:space="preserve"/>
      </w:r>
    </w:p>
    <w:p>
      <w:pPr>
        <w:pStyle w:val="Heading2"/>
        <w:spacing w:after="100" w:before="240"/>
      </w:pPr>
      <w:r>
        <w:rPr>
          <w:rFonts w:ascii="Arial" w:cs="Arial" w:eastAsia="Arial" w:hAnsi="Arial"/>
          <w:b/>
          <w:bCs/>
          <w:color w:val="1A1A2E"/>
          <w:sz w:val="26"/>
          <w:szCs w:val="26"/>
        </w:rPr>
        <w:t xml:space="preserve">2.1  Data Quality &amp; Preparation</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Checked all six datasets for missing values, duplicate records, and inconsistent entries.</w:t>
      </w:r>
    </w:p>
    <w:p>
      <w:pPr>
        <w:pStyle w:val="ListParagraph"/>
        <w:numPr>
          <w:ilvl w:val="0"/>
          <w:numId w:val="2"/>
        </w:numPr>
        <w:spacing w:after="60"/>
      </w:pPr>
      <w:r>
        <w:rPr>
          <w:rFonts w:ascii="Arial" w:cs="Arial" w:eastAsia="Arial" w:hAnsi="Arial"/>
          <w:color w:val="1A1A2E"/>
          <w:sz w:val="20"/>
          <w:szCs w:val="20"/>
        </w:rPr>
        <w:t xml:space="preserve">Date columns parsed; PII columns (names, contact, email, address) excluded.</w:t>
      </w:r>
    </w:p>
    <w:p>
      <w:pPr>
        <w:pStyle w:val="ListParagraph"/>
        <w:numPr>
          <w:ilvl w:val="0"/>
          <w:numId w:val="2"/>
        </w:numPr>
        <w:spacing w:after="60"/>
      </w:pPr>
      <w:r>
        <w:rPr>
          <w:rFonts w:ascii="Arial" w:cs="Arial" w:eastAsia="Arial" w:hAnsi="Arial"/>
          <w:color w:val="1A1A2E"/>
          <w:sz w:val="20"/>
          <w:szCs w:val="20"/>
        </w:rPr>
        <w:t xml:space="preserve">Outliers in LOAN_AMOUNT, INTEREST_RATE, DEFAULT_AMOUNT capped using IQR × 1.5.</w:t>
      </w:r>
    </w:p>
    <w:p>
      <w:pPr>
        <w:pStyle w:val="ListParagraph"/>
        <w:numPr>
          <w:ilvl w:val="0"/>
          <w:numId w:val="2"/>
        </w:numPr>
        <w:spacing w:after="60"/>
      </w:pPr>
      <w:r>
        <w:rPr>
          <w:rFonts w:ascii="Arial" w:cs="Arial" w:eastAsia="Arial" w:hAnsi="Arial"/>
          <w:color w:val="1A1A2E"/>
          <w:sz w:val="20"/>
          <w:szCs w:val="20"/>
        </w:rPr>
        <w:t xml:space="preserve">DEFAULT_FLAG engineered via cross-reference with defaults.LOAN_ID (9,000 defaulted loans).</w:t>
      </w:r>
    </w:p>
    <w:p>
      <w:pPr>
        <w:pStyle w:val="ListParagraph"/>
        <w:numPr>
          <w:ilvl w:val="0"/>
          <w:numId w:val="2"/>
        </w:numPr>
        <w:spacing w:after="60"/>
      </w:pPr>
      <w:r>
        <w:rPr>
          <w:rFonts w:ascii="Arial" w:cs="Arial" w:eastAsia="Arial" w:hAnsi="Arial"/>
          <w:color w:val="1A1A2E"/>
          <w:sz w:val="20"/>
          <w:szCs w:val="20"/>
        </w:rPr>
        <w:t xml:space="preserve">RECOVERY_RATE = RECOVERY_AMOUNT / DEFAULT_AMOUNT where DEFAULT_AMOUNT &gt; 0.</w:t>
      </w:r>
    </w:p>
    <w:p>
      <w:pPr>
        <w:pStyle w:val="ListParagraph"/>
        <w:numPr>
          <w:ilvl w:val="0"/>
          <w:numId w:val="2"/>
        </w:numPr>
        <w:spacing w:after="60"/>
      </w:pPr>
      <w:r>
        <w:rPr>
          <w:rFonts w:ascii="Arial" w:cs="Arial" w:eastAsia="Arial" w:hAnsi="Arial"/>
          <w:color w:val="1A1A2E"/>
          <w:sz w:val="20"/>
          <w:szCs w:val="20"/>
        </w:rPr>
        <w:t xml:space="preserve">INTEREST_INCOME = LOAN_AMOUNT × (INTEREST_RATE/100) × (LOAN_TERM/12).</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
              <w:left w:val="single" w:color="E67E22" w:sz="1"/>
              <w:bottom w:val="single" w:color="E67E22" w:sz="1"/>
              <w:right w:val="single" w:color="E67E22" w:sz="1"/>
            </w:tcBorders>
            <w:shd w:fill="F2F2F2" w:val="clear"/>
            <w:tcMar>
              <w:top w:type="dxa" w:w="130"/>
              <w:left w:type="dxa" w:w="220"/>
              <w:bottom w:type="dxa" w:w="130"/>
              <w:right w:type="dxa" w:w="220"/>
            </w:tcMar>
          </w:tcPr>
          <w:p>
            <w:pPr>
              <w:spacing w:after="50"/>
            </w:pPr>
            <w:r>
              <w:rPr>
                <w:rFonts w:ascii="Arial" w:cs="Arial" w:eastAsia="Arial" w:hAnsi="Arial"/>
                <w:i/>
                <w:iCs/>
                <w:color w:val="1A1A2E"/>
                <w:sz w:val="19"/>
                <w:szCs w:val="19"/>
              </w:rPr>
              <w:t xml:space="preserve">Data Gap: BRANCH_ID absent from loans.csv and applications.csv — Task 15 (Branch Efficiency) not answerable.</w:t>
            </w:r>
          </w:p>
          <w:p>
            <w:pPr>
              <w:spacing w:after="50"/>
            </w:pPr>
            <w:r>
              <w:rPr>
                <w:rFonts w:ascii="Arial" w:cs="Arial" w:eastAsia="Arial" w:hAnsi="Arial"/>
                <w:i/>
                <w:iCs/>
                <w:color w:val="1A1A2E"/>
                <w:sz w:val="19"/>
                <w:szCs w:val="19"/>
              </w:rPr>
              <w:t xml:space="preserve">Resolution: Add BRANCH_ID as a foreign key to both tables (see Recommendation R7).</w:t>
            </w:r>
          </w:p>
        </w:tc>
      </w:tr>
    </w:tbl>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2.2  Exploratory / Descriptive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Loan and EMI amounts show bi-modal clustering — two distinct borrower product tiers.</w:t>
      </w:r>
    </w:p>
    <w:p>
      <w:pPr>
        <w:pStyle w:val="ListParagraph"/>
        <w:numPr>
          <w:ilvl w:val="0"/>
          <w:numId w:val="2"/>
        </w:numPr>
        <w:spacing w:after="60"/>
      </w:pPr>
      <w:r>
        <w:rPr>
          <w:rFonts w:ascii="Arial" w:cs="Arial" w:eastAsia="Arial" w:hAnsi="Arial"/>
          <w:color w:val="1A1A2E"/>
          <w:sz w:val="20"/>
          <w:szCs w:val="20"/>
        </w:rPr>
        <w:t xml:space="preserve">Credit scores broadly uniformly distributed across 300–900 range.</w:t>
      </w:r>
    </w:p>
    <w:p>
      <w:pPr>
        <w:pStyle w:val="ListParagraph"/>
        <w:numPr>
          <w:ilvl w:val="0"/>
          <w:numId w:val="2"/>
        </w:numPr>
        <w:spacing w:after="60"/>
      </w:pPr>
      <w:r>
        <w:rPr>
          <w:rFonts w:ascii="Arial" w:cs="Arial" w:eastAsia="Arial" w:hAnsi="Arial"/>
          <w:color w:val="1A1A2E"/>
          <w:sz w:val="20"/>
          <w:szCs w:val="20"/>
        </w:rPr>
        <w:t xml:space="preserve">East and North regions lead in disbursement volume; Central has the highest default rate.</w:t>
      </w:r>
    </w:p>
    <w:p>
      <w:pPr>
        <w:pStyle w:val="ListParagraph"/>
        <w:numPr>
          <w:ilvl w:val="0"/>
          <w:numId w:val="2"/>
        </w:numPr>
        <w:spacing w:after="60"/>
      </w:pPr>
      <w:r>
        <w:rPr>
          <w:rFonts w:ascii="Arial" w:cs="Arial" w:eastAsia="Arial" w:hAnsi="Arial"/>
          <w:color w:val="1A1A2E"/>
          <w:sz w:val="20"/>
          <w:szCs w:val="20"/>
        </w:rPr>
        <w:t xml:space="preserve">Monthly application volumes stable across 2020–2025 with no structural breaks.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2 — Descriptive Analysis" descr="Task 2 — Descriptive Analysis" title="Task 2 — Descriptiv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2 — Descriptive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2.3  Default Risk (Correlation)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CREDIT_SCORE is the strongest negative predictor of DEFAULT_FLAG.</w:t>
      </w:r>
    </w:p>
    <w:p>
      <w:pPr>
        <w:pStyle w:val="ListParagraph"/>
        <w:numPr>
          <w:ilvl w:val="0"/>
          <w:numId w:val="2"/>
        </w:numPr>
        <w:spacing w:after="60"/>
      </w:pPr>
      <w:r>
        <w:rPr>
          <w:rFonts w:ascii="Arial" w:cs="Arial" w:eastAsia="Arial" w:hAnsi="Arial"/>
          <w:color w:val="1A1A2E"/>
          <w:sz w:val="20"/>
          <w:szCs w:val="20"/>
        </w:rPr>
        <w:t xml:space="preserve">INTEREST_RATE shows modest positive correlation with default risk.</w:t>
      </w:r>
    </w:p>
    <w:p>
      <w:pPr>
        <w:pStyle w:val="ListParagraph"/>
        <w:numPr>
          <w:ilvl w:val="0"/>
          <w:numId w:val="2"/>
        </w:numPr>
        <w:spacing w:after="60"/>
      </w:pPr>
      <w:r>
        <w:rPr>
          <w:rFonts w:ascii="Arial" w:cs="Arial" w:eastAsia="Arial" w:hAnsi="Arial"/>
          <w:color w:val="1A1A2E"/>
          <w:sz w:val="20"/>
          <w:szCs w:val="20"/>
        </w:rPr>
        <w:t xml:space="preserve">OVERDUE_AMOUNT is a leading indicator — precedes formal default by weeks.</w:t>
      </w:r>
    </w:p>
    <w:p>
      <w:pPr>
        <w:pStyle w:val="ListParagraph"/>
        <w:numPr>
          <w:ilvl w:val="0"/>
          <w:numId w:val="2"/>
        </w:numPr>
        <w:spacing w:after="60"/>
      </w:pPr>
      <w:r>
        <w:rPr>
          <w:rFonts w:ascii="Arial" w:cs="Arial" w:eastAsia="Arial" w:hAnsi="Arial"/>
          <w:color w:val="1A1A2E"/>
          <w:sz w:val="20"/>
          <w:szCs w:val="20"/>
        </w:rPr>
        <w:t xml:space="preserve">Branch delinquency and disbursement volume are positively correlated.</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3 — Default Risk Correlations" descr="Task 3 — Default Risk Correlations" title="Task 3 — Default Risk Corre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3 — Default Risk Correlations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2.4  Branch &amp; Regional Performance</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High disbursement branches ≠ high delinquency branches — scale and risk diverge.</w:t>
      </w:r>
    </w:p>
    <w:p>
      <w:pPr>
        <w:pStyle w:val="ListParagraph"/>
        <w:numPr>
          <w:ilvl w:val="0"/>
          <w:numId w:val="2"/>
        </w:numPr>
        <w:spacing w:after="60"/>
      </w:pPr>
      <w:r>
        <w:rPr>
          <w:rFonts w:ascii="Arial" w:cs="Arial" w:eastAsia="Arial" w:hAnsi="Arial"/>
          <w:color w:val="1A1A2E"/>
          <w:sz w:val="20"/>
          <w:szCs w:val="20"/>
        </w:rPr>
        <w:t xml:space="preserve">Delinquency rates vary widely: worst branch is 5× higher than best.</w:t>
      </w:r>
    </w:p>
    <w:p>
      <w:pPr>
        <w:pStyle w:val="ListParagraph"/>
        <w:numPr>
          <w:ilvl w:val="0"/>
          <w:numId w:val="2"/>
        </w:numPr>
        <w:spacing w:after="60"/>
      </w:pPr>
      <w:r>
        <w:rPr>
          <w:rFonts w:ascii="Arial" w:cs="Arial" w:eastAsia="Arial" w:hAnsi="Arial"/>
          <w:color w:val="1A1A2E"/>
          <w:sz w:val="20"/>
          <w:szCs w:val="20"/>
        </w:rPr>
        <w:t xml:space="preserve">Central region leads in delinquency despite average loan volume.</w:t>
      </w:r>
    </w:p>
    <w:p>
      <w:pPr>
        <w:pStyle w:val="ListParagraph"/>
        <w:numPr>
          <w:ilvl w:val="0"/>
          <w:numId w:val="2"/>
        </w:numPr>
        <w:spacing w:after="60"/>
      </w:pPr>
      <w:r>
        <w:rPr>
          <w:rFonts w:ascii="Arial" w:cs="Arial" w:eastAsia="Arial" w:hAnsi="Arial"/>
          <w:color w:val="1A1A2E"/>
          <w:sz w:val="20"/>
          <w:szCs w:val="20"/>
        </w:rPr>
        <w:t xml:space="preserve">Central and East regions have the slowest average processing times.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4 — Branch &amp; Regional Performance" descr="Task 4 — Branch &amp; Regional Performance" title="Task 4 — Branch &amp; Regional Perform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4 — Branch &amp; Regional Performance</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2.5  Customer Segmentation</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High-risk: Low income (&lt; ₹3L) + Low credit score (&lt; 580) — defaults 2–3× portfolio average.</w:t>
      </w:r>
    </w:p>
    <w:p>
      <w:pPr>
        <w:pStyle w:val="ListParagraph"/>
        <w:numPr>
          <w:ilvl w:val="0"/>
          <w:numId w:val="2"/>
        </w:numPr>
        <w:spacing w:after="60"/>
      </w:pPr>
      <w:r>
        <w:rPr>
          <w:rFonts w:ascii="Arial" w:cs="Arial" w:eastAsia="Arial" w:hAnsi="Arial"/>
          <w:color w:val="1A1A2E"/>
          <w:sz w:val="20"/>
          <w:szCs w:val="20"/>
        </w:rPr>
        <w:t xml:space="preserve">High-value: High income (&gt; ₹7L) + High credit score (&gt; 720) — lowest default rates.</w:t>
      </w:r>
    </w:p>
    <w:p>
      <w:pPr>
        <w:pStyle w:val="ListParagraph"/>
        <w:numPr>
          <w:ilvl w:val="0"/>
          <w:numId w:val="2"/>
        </w:numPr>
        <w:spacing w:after="60"/>
      </w:pPr>
      <w:r>
        <w:rPr>
          <w:rFonts w:ascii="Arial" w:cs="Arial" w:eastAsia="Arial" w:hAnsi="Arial"/>
          <w:color w:val="1A1A2E"/>
          <w:sz w:val="20"/>
          <w:szCs w:val="20"/>
        </w:rPr>
        <w:t xml:space="preserve">Risk matrix confirms monotonic gradient across income × credit score tiers.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5 — Customer Segmentation" descr="Task 5 — Customer Segmentation" title="Task 5 — Customer Seg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5 — Customer Segmentation</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2.6  Advanced Statistical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OVERDUE_AMOUNT has the strongest correlation with DEFAULT_FLAG in the expanded matrix.</w:t>
      </w:r>
    </w:p>
    <w:p>
      <w:pPr>
        <w:pStyle w:val="ListParagraph"/>
        <w:numPr>
          <w:ilvl w:val="0"/>
          <w:numId w:val="2"/>
        </w:numPr>
        <w:spacing w:after="60"/>
      </w:pPr>
      <w:r>
        <w:rPr>
          <w:rFonts w:ascii="Arial" w:cs="Arial" w:eastAsia="Arial" w:hAnsi="Arial"/>
          <w:color w:val="1A1A2E"/>
          <w:sz w:val="20"/>
          <w:szCs w:val="20"/>
        </w:rPr>
        <w:t xml:space="preserve">CREDIT_SCORE remains the dominant negative predictor across all permutations.</w:t>
      </w:r>
    </w:p>
    <w:p>
      <w:pPr>
        <w:pStyle w:val="ListParagraph"/>
        <w:numPr>
          <w:ilvl w:val="0"/>
          <w:numId w:val="2"/>
        </w:numPr>
        <w:spacing w:after="60"/>
      </w:pPr>
      <w:r>
        <w:rPr>
          <w:rFonts w:ascii="Arial" w:cs="Arial" w:eastAsia="Arial" w:hAnsi="Arial"/>
          <w:color w:val="1A1A2E"/>
          <w:sz w:val="20"/>
          <w:szCs w:val="20"/>
        </w:rPr>
        <w:t xml:space="preserve">RECOVERY_RATE weakly correlated with DEFAULT_AMOUNT — recovery does not scale with default size.</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6 — Advanced Statistical Analysis" descr="Task 6 — Advanced Statistical Analysis" title="Task 6 — Advanced Statistic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6 — Advanced Statistical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2.7  Transaction &amp; Recovery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EMI payments ~84% of transactions; Penalty (~16%) are the primary stress signal.</w:t>
      </w:r>
    </w:p>
    <w:p>
      <w:pPr>
        <w:pStyle w:val="ListParagraph"/>
        <w:numPr>
          <w:ilvl w:val="0"/>
          <w:numId w:val="2"/>
        </w:numPr>
        <w:spacing w:after="60"/>
      </w:pPr>
      <w:r>
        <w:rPr>
          <w:rFonts w:ascii="Arial" w:cs="Arial" w:eastAsia="Arial" w:hAnsi="Arial"/>
          <w:color w:val="1A1A2E"/>
          <w:sz w:val="20"/>
          <w:szCs w:val="20"/>
        </w:rPr>
        <w:t xml:space="preserve">Legal action improves recovery by 4–6 percentage points on average.</w:t>
      </w:r>
    </w:p>
    <w:p>
      <w:pPr>
        <w:pStyle w:val="ListParagraph"/>
        <w:numPr>
          <w:ilvl w:val="0"/>
          <w:numId w:val="2"/>
        </w:numPr>
        <w:spacing w:after="60"/>
      </w:pPr>
      <w:r>
        <w:rPr>
          <w:rFonts w:ascii="Arial" w:cs="Arial" w:eastAsia="Arial" w:hAnsi="Arial"/>
          <w:color w:val="1A1A2E"/>
          <w:sz w:val="20"/>
          <w:szCs w:val="20"/>
        </w:rPr>
        <w:t xml:space="preserve">Agency and Loss default reasons yield highest recovery; Failure yields lowest.</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7 — Transaction &amp; Recovery Analysis" descr="Task 7 — Transaction &amp; Recovery Analysis" title="Task 7 — Transaction &amp; Recovery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7 — Transaction &amp; Recovery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2.8  EMI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Default probability increases monotonically across EMI bands — highest 2× the lowest.</w:t>
      </w:r>
    </w:p>
    <w:p>
      <w:pPr>
        <w:pStyle w:val="ListParagraph"/>
        <w:numPr>
          <w:ilvl w:val="0"/>
          <w:numId w:val="2"/>
        </w:numPr>
        <w:spacing w:after="60"/>
      </w:pPr>
      <w:r>
        <w:rPr>
          <w:rFonts w:ascii="Arial" w:cs="Arial" w:eastAsia="Arial" w:hAnsi="Arial"/>
          <w:color w:val="1A1A2E"/>
          <w:sz w:val="20"/>
          <w:szCs w:val="20"/>
        </w:rPr>
        <w:t xml:space="preserve">Clear inflection at ₹820–900 EMI — actionable threshold for approval policy.</w:t>
      </w:r>
    </w:p>
    <w:p>
      <w:pPr>
        <w:pStyle w:val="ListParagraph"/>
        <w:numPr>
          <w:ilvl w:val="0"/>
          <w:numId w:val="2"/>
        </w:numPr>
        <w:spacing w:after="60"/>
      </w:pPr>
      <w:r>
        <w:rPr>
          <w:rFonts w:ascii="Arial" w:cs="Arial" w:eastAsia="Arial" w:hAnsi="Arial"/>
          <w:color w:val="1A1A2E"/>
          <w:sz w:val="20"/>
          <w:szCs w:val="20"/>
        </w:rPr>
        <w:t xml:space="preserve">Business loans have highest median EMI; Personal loans the lowest.</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8 — EMI Analysis" descr="Task 8 — EMI Analysis" title="Task 8 — EMI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8 — EMI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2.9  Loan Application Insights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Overall approval rate ~85%; 1 in 6 applications rejected.</w:t>
      </w:r>
    </w:p>
    <w:p>
      <w:pPr>
        <w:pStyle w:val="ListParagraph"/>
        <w:numPr>
          <w:ilvl w:val="0"/>
          <w:numId w:val="2"/>
        </w:numPr>
        <w:spacing w:after="60"/>
      </w:pPr>
      <w:r>
        <w:rPr>
          <w:rFonts w:ascii="Arial" w:cs="Arial" w:eastAsia="Arial" w:hAnsi="Arial"/>
          <w:color w:val="1A1A2E"/>
          <w:sz w:val="20"/>
          <w:szCs w:val="20"/>
        </w:rPr>
        <w:t xml:space="preserve">Top rejection drivers: low credit score, irregular payment history, insufficient income.</w:t>
      </w:r>
    </w:p>
    <w:p>
      <w:pPr>
        <w:pStyle w:val="ListParagraph"/>
        <w:numPr>
          <w:ilvl w:val="0"/>
          <w:numId w:val="2"/>
        </w:numPr>
        <w:spacing w:after="60"/>
      </w:pPr>
      <w:r>
        <w:rPr>
          <w:rFonts w:ascii="Arial" w:cs="Arial" w:eastAsia="Arial" w:hAnsi="Arial"/>
          <w:color w:val="1A1A2E"/>
          <w:sz w:val="20"/>
          <w:szCs w:val="20"/>
        </w:rPr>
        <w:t xml:space="preserve">Approved applications have slightly higher average processing fees.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9 — Loan Application Insights" descr="Task 9 — Loan Application Insights" title="Task 9 — Loan Application Insigh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9 — Loan Application Insights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2.10  Recovery Effectiveness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Recovery distribution right-skewed — most defaults recover &lt; 30% of outstanding.</w:t>
      </w:r>
    </w:p>
    <w:p>
      <w:pPr>
        <w:pStyle w:val="ListParagraph"/>
        <w:numPr>
          <w:ilvl w:val="0"/>
          <w:numId w:val="2"/>
        </w:numPr>
        <w:spacing w:after="60"/>
      </w:pPr>
      <w:r>
        <w:rPr>
          <w:rFonts w:ascii="Arial" w:cs="Arial" w:eastAsia="Arial" w:hAnsi="Arial"/>
          <w:color w:val="1A1A2E"/>
          <w:sz w:val="20"/>
          <w:szCs w:val="20"/>
        </w:rPr>
        <w:t xml:space="preserve">Legal action improves mean recovery rate by 4–6 percentage points.</w:t>
      </w:r>
    </w:p>
    <w:p>
      <w:pPr>
        <w:pStyle w:val="ListParagraph"/>
        <w:numPr>
          <w:ilvl w:val="0"/>
          <w:numId w:val="2"/>
        </w:numPr>
        <w:spacing w:after="60"/>
      </w:pPr>
      <w:r>
        <w:rPr>
          <w:rFonts w:ascii="Arial" w:cs="Arial" w:eastAsia="Arial" w:hAnsi="Arial"/>
          <w:color w:val="1A1A2E"/>
          <w:sz w:val="20"/>
          <w:szCs w:val="20"/>
        </w:rPr>
        <w:t xml:space="preserve">East and Northeast show highest recovery; Central the lowest.</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0 — Recovery Effectiveness" descr="Task 10 — Recovery Effectiveness" title="Task 10 — Recovery Effective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10 — Recovery Effectiveness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2.11  Loan Disbursement Efficiency</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Processing time clusters at 15–30 days with long tail beyond 90 days.</w:t>
      </w:r>
    </w:p>
    <w:p>
      <w:pPr>
        <w:pStyle w:val="ListParagraph"/>
        <w:numPr>
          <w:ilvl w:val="0"/>
          <w:numId w:val="2"/>
        </w:numPr>
        <w:spacing w:after="60"/>
      </w:pPr>
      <w:r>
        <w:rPr>
          <w:rFonts w:ascii="Arial" w:cs="Arial" w:eastAsia="Arial" w:hAnsi="Arial"/>
          <w:color w:val="1A1A2E"/>
          <w:sz w:val="20"/>
          <w:szCs w:val="20"/>
        </w:rPr>
        <w:t xml:space="preserve">Business and Home Renovation loans take longest; South region fastest.</w:t>
      </w:r>
    </w:p>
    <w:p>
      <w:pPr>
        <w:pStyle w:val="ListParagraph"/>
        <w:numPr>
          <w:ilvl w:val="0"/>
          <w:numId w:val="2"/>
        </w:numPr>
        <w:spacing w:after="60"/>
      </w:pPr>
      <w:r>
        <w:rPr>
          <w:rFonts w:ascii="Arial" w:cs="Arial" w:eastAsia="Arial" w:hAnsi="Arial"/>
          <w:color w:val="1A1A2E"/>
          <w:sz w:val="20"/>
          <w:szCs w:val="20"/>
        </w:rPr>
        <w:t xml:space="preserve">15% of applications (12,600) have no LOAN_ID — excluded as likely rejected.</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1 — Disbursement Efficiency" descr="Task 11 — Disbursement Efficiency" title="Task 11 — Disbursement Effici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11 — Disbursement Efficiency</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2.12  Profitability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Total portfolio interest income exceeds ₹2 billion.</w:t>
      </w:r>
    </w:p>
    <w:p>
      <w:pPr>
        <w:pStyle w:val="ListParagraph"/>
        <w:numPr>
          <w:ilvl w:val="0"/>
          <w:numId w:val="2"/>
        </w:numPr>
        <w:spacing w:after="60"/>
      </w:pPr>
      <w:r>
        <w:rPr>
          <w:rFonts w:ascii="Arial" w:cs="Arial" w:eastAsia="Arial" w:hAnsi="Arial"/>
          <w:color w:val="1A1A2E"/>
          <w:sz w:val="20"/>
          <w:szCs w:val="20"/>
        </w:rPr>
        <w:t xml:space="preserve">East and North generate highest interest income due to higher volumes.</w:t>
      </w:r>
    </w:p>
    <w:p>
      <w:pPr>
        <w:pStyle w:val="ListParagraph"/>
        <w:numPr>
          <w:ilvl w:val="0"/>
          <w:numId w:val="2"/>
        </w:numPr>
        <w:spacing w:after="60"/>
      </w:pPr>
      <w:r>
        <w:rPr>
          <w:rFonts w:ascii="Arial" w:cs="Arial" w:eastAsia="Arial" w:hAnsi="Arial"/>
          <w:color w:val="1A1A2E"/>
          <w:sz w:val="20"/>
          <w:szCs w:val="20"/>
        </w:rPr>
        <w:t xml:space="preserve">Direct branch-level profitability not calculable — BRANCH_ID absent from loans.csv.</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2 — Profitability Analysis" descr="Task 12 — Profitability Analysis" title="Task 12 — Profitability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12 — Profitability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2.13  Geospatial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East region holds most active loans; Central has fewest but the highest default rate.</w:t>
      </w:r>
    </w:p>
    <w:p>
      <w:pPr>
        <w:pStyle w:val="ListParagraph"/>
        <w:numPr>
          <w:ilvl w:val="0"/>
          <w:numId w:val="2"/>
        </w:numPr>
        <w:spacing w:after="60"/>
      </w:pPr>
      <w:r>
        <w:rPr>
          <w:rFonts w:ascii="Arial" w:cs="Arial" w:eastAsia="Arial" w:hAnsi="Arial"/>
          <w:color w:val="1A1A2E"/>
          <w:sz w:val="20"/>
          <w:szCs w:val="20"/>
        </w:rPr>
        <w:t xml:space="preserve">Central's inverse volume-to-default ratio indicates structural risk concentration.</w:t>
      </w:r>
    </w:p>
    <w:p>
      <w:pPr>
        <w:pStyle w:val="ListParagraph"/>
        <w:numPr>
          <w:ilvl w:val="0"/>
          <w:numId w:val="2"/>
        </w:numPr>
        <w:spacing w:after="60"/>
      </w:pPr>
      <w:r>
        <w:rPr>
          <w:rFonts w:ascii="Arial" w:cs="Arial" w:eastAsia="Arial" w:hAnsi="Arial"/>
          <w:color w:val="1A1A2E"/>
          <w:sz w:val="20"/>
          <w:szCs w:val="20"/>
        </w:rPr>
        <w:t xml:space="preserve">Rural vs urban breakdown not possible — no area-type column in any source file.</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3 — Geospatial Analysis" descr="Task 13 — Geospatial Analysis" title="Task 13 — Geospati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13 — Geospatial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2.14  Default Trends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Monthly default counts stable 2020–2025 — no systemic deterioration trend.</w:t>
      </w:r>
    </w:p>
    <w:p>
      <w:pPr>
        <w:pStyle w:val="ListParagraph"/>
        <w:numPr>
          <w:ilvl w:val="0"/>
          <w:numId w:val="2"/>
        </w:numPr>
        <w:spacing w:after="60"/>
      </w:pPr>
      <w:r>
        <w:rPr>
          <w:rFonts w:ascii="Arial" w:cs="Arial" w:eastAsia="Arial" w:hAnsi="Arial"/>
          <w:color w:val="1A1A2E"/>
          <w:sz w:val="20"/>
          <w:szCs w:val="20"/>
        </w:rPr>
        <w:t xml:space="preserve">Business loans carry highest average default amount per case.</w:t>
      </w:r>
    </w:p>
    <w:p>
      <w:pPr>
        <w:pStyle w:val="ListParagraph"/>
        <w:numPr>
          <w:ilvl w:val="0"/>
          <w:numId w:val="2"/>
        </w:numPr>
        <w:spacing w:after="60"/>
      </w:pPr>
      <w:r>
        <w:rPr>
          <w:rFonts w:ascii="Arial" w:cs="Arial" w:eastAsia="Arial" w:hAnsi="Arial"/>
          <w:color w:val="1A1A2E"/>
          <w:sz w:val="20"/>
          <w:szCs w:val="20"/>
        </w:rPr>
        <w:t xml:space="preserve">Low-income borrowers default at ~1.5× medium and ~2× high-income rates.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4 — Default Trends" descr="Task 14 — Default Trends" title="Task 14 — Default Tre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14 — Default Trends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2.15  Branch Efficiency  [NOT ANSWERABLE WITH CURRENT DATASET]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1"/>
              <w:left w:val="single" w:color="E67E22" w:sz="1"/>
              <w:bottom w:val="single" w:color="E67E22" w:sz="1"/>
              <w:right w:val="single" w:color="E67E22" w:sz="1"/>
            </w:tcBorders>
            <w:shd w:fill="F2F2F2" w:val="clear"/>
            <w:tcMar>
              <w:top w:type="dxa" w:w="130"/>
              <w:left w:type="dxa" w:w="220"/>
              <w:bottom w:type="dxa" w:w="130"/>
              <w:right w:type="dxa" w:w="220"/>
            </w:tcMar>
          </w:tcPr>
          <w:p>
            <w:pPr>
              <w:spacing w:after="50"/>
            </w:pPr>
            <w:r>
              <w:rPr>
                <w:rFonts w:ascii="Arial" w:cs="Arial" w:eastAsia="Arial" w:hAnsi="Arial"/>
                <w:i/>
                <w:iCs/>
                <w:color w:val="1A1A2E"/>
                <w:sz w:val="19"/>
                <w:szCs w:val="19"/>
              </w:rPr>
              <w:t xml:space="preserve">Root cause: BRANCH_ID absent from loans.csv and applications.csv.</w:t>
            </w:r>
          </w:p>
          <w:p>
            <w:pPr>
              <w:spacing w:after="50"/>
            </w:pPr>
            <w:r>
              <w:rPr>
                <w:rFonts w:ascii="Arial" w:cs="Arial" w:eastAsia="Arial" w:hAnsi="Arial"/>
                <w:i/>
                <w:iCs/>
                <w:color w:val="1A1A2E"/>
                <w:sz w:val="19"/>
                <w:szCs w:val="19"/>
              </w:rPr>
              <w:t xml:space="preserve">Sub-task 1 — Avg disbursement time per branch: needs BRANCH_ID + APPLICATION_DATE + DISBURSAL_DATE.</w:t>
            </w:r>
          </w:p>
          <w:p>
            <w:pPr>
              <w:spacing w:after="50"/>
            </w:pPr>
            <w:r>
              <w:rPr>
                <w:rFonts w:ascii="Arial" w:cs="Arial" w:eastAsia="Arial" w:hAnsi="Arial"/>
                <w:i/>
                <w:iCs/>
                <w:color w:val="1A1A2E"/>
                <w:sz w:val="19"/>
                <w:szCs w:val="19"/>
              </w:rPr>
              <w:t xml:space="preserve">Sub-task 2 — Branches with most rejected apps: needs BRANCH_ID + APPROVAL_STATUS.</w:t>
            </w:r>
          </w:p>
          <w:p>
            <w:pPr>
              <w:spacing w:after="50"/>
            </w:pPr>
            <w:r>
              <w:rPr>
                <w:rFonts w:ascii="Arial" w:cs="Arial" w:eastAsia="Arial" w:hAnsi="Arial"/>
                <w:i/>
                <w:iCs/>
                <w:color w:val="1A1A2E"/>
                <w:sz w:val="19"/>
                <w:szCs w:val="19"/>
              </w:rPr>
              <w:t xml:space="preserve">Sub-task 3 — Customer satisfaction per branch: no satisfaction/CSAT column exists.</w:t>
            </w:r>
          </w:p>
          <w:p>
            <w:pPr>
              <w:spacing w:after="50"/>
            </w:pPr>
            <w:r>
              <w:rPr>
                <w:rFonts w:ascii="Arial" w:cs="Arial" w:eastAsia="Arial" w:hAnsi="Arial"/>
                <w:i/>
                <w:iCs/>
                <w:color w:val="1A1A2E"/>
                <w:sz w:val="19"/>
                <w:szCs w:val="19"/>
              </w:rPr>
              <w:t xml:space="preserve">Resolution: Add BRANCH_ID as a foreign key to loans and applications (see Recommendation R7).</w:t>
            </w:r>
          </w:p>
        </w:tc>
      </w:tr>
    </w:tbl>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2.16  Time-Series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Monthly disbursement stable over 5 years — no growth or contraction trend.</w:t>
      </w:r>
    </w:p>
    <w:p>
      <w:pPr>
        <w:pStyle w:val="ListParagraph"/>
        <w:numPr>
          <w:ilvl w:val="0"/>
          <w:numId w:val="2"/>
        </w:numPr>
        <w:spacing w:after="60"/>
      </w:pPr>
      <w:r>
        <w:rPr>
          <w:rFonts w:ascii="Arial" w:cs="Arial" w:eastAsia="Arial" w:hAnsi="Arial"/>
          <w:color w:val="1A1A2E"/>
          <w:sz w:val="20"/>
          <w:szCs w:val="20"/>
        </w:rPr>
        <w:t xml:space="preserve">Seasonal uptick in Q2 applications — possibly linked to financial-year planning.</w:t>
      </w:r>
    </w:p>
    <w:p>
      <w:pPr>
        <w:pStyle w:val="ListParagraph"/>
        <w:numPr>
          <w:ilvl w:val="0"/>
          <w:numId w:val="2"/>
        </w:numPr>
        <w:spacing w:after="60"/>
      </w:pPr>
      <w:r>
        <w:rPr>
          <w:rFonts w:ascii="Arial" w:cs="Arial" w:eastAsia="Arial" w:hAnsi="Arial"/>
          <w:color w:val="1A1A2E"/>
          <w:sz w:val="20"/>
          <w:szCs w:val="20"/>
        </w:rPr>
        <w:t xml:space="preserve">Central consistently has the highest annual default rate — structural, not cyclical.</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6 — Time-Series Analysis" descr="Task 16 — Time-Series Analysis" title="Task 16 — Time-Series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16 — Time-Series Analysis</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2.17  Customer Behaviour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~50% Active, ~37% Closed, ~13% Overdue — Overdue cohort is the primary intervention target.</w:t>
      </w:r>
    </w:p>
    <w:p>
      <w:pPr>
        <w:pStyle w:val="ListParagraph"/>
        <w:numPr>
          <w:ilvl w:val="0"/>
          <w:numId w:val="2"/>
        </w:numPr>
        <w:spacing w:after="60"/>
      </w:pPr>
      <w:r>
        <w:rPr>
          <w:rFonts w:ascii="Arial" w:cs="Arial" w:eastAsia="Arial" w:hAnsi="Arial"/>
          <w:color w:val="1A1A2E"/>
          <w:sz w:val="20"/>
          <w:szCs w:val="20"/>
        </w:rPr>
        <w:t xml:space="preserve">Approval rates consistent across gender — no systematic underwriting bias.</w:t>
      </w:r>
    </w:p>
    <w:p>
      <w:pPr>
        <w:pStyle w:val="ListParagraph"/>
        <w:numPr>
          <w:ilvl w:val="0"/>
          <w:numId w:val="2"/>
        </w:numPr>
        <w:spacing w:after="60"/>
      </w:pPr>
      <w:r>
        <w:rPr>
          <w:rFonts w:ascii="Arial" w:cs="Arial" w:eastAsia="Arial" w:hAnsi="Arial"/>
          <w:color w:val="1A1A2E"/>
          <w:sz w:val="20"/>
          <w:szCs w:val="20"/>
        </w:rPr>
        <w:t xml:space="preserve">Senior borrowers (50+) have higher rejection rates — income/credit profile differences.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7 — Customer Behaviour" descr="Task 17 — Customer Behaviour" title="Task 17 — Customer Behavi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17 — Customer Behaviour</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2.18  Risk Assessment</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Low/Low income+credit cell carries 3× the default rate of the High/High cell.</w:t>
      </w:r>
    </w:p>
    <w:p>
      <w:pPr>
        <w:pStyle w:val="ListParagraph"/>
        <w:numPr>
          <w:ilvl w:val="0"/>
          <w:numId w:val="2"/>
        </w:numPr>
        <w:spacing w:after="60"/>
      </w:pPr>
      <w:r>
        <w:rPr>
          <w:rFonts w:ascii="Arial" w:cs="Arial" w:eastAsia="Arial" w:hAnsi="Arial"/>
          <w:color w:val="1A1A2E"/>
          <w:sz w:val="20"/>
          <w:szCs w:val="20"/>
        </w:rPr>
        <w:t xml:space="preserve">Vehicle and Personal loans show highest default rates by purpose.</w:t>
      </w:r>
    </w:p>
    <w:p>
      <w:pPr>
        <w:pStyle w:val="ListParagraph"/>
        <w:numPr>
          <w:ilvl w:val="0"/>
          <w:numId w:val="2"/>
        </w:numPr>
        <w:spacing w:after="60"/>
      </w:pPr>
      <w:r>
        <w:rPr>
          <w:rFonts w:ascii="Arial" w:cs="Arial" w:eastAsia="Arial" w:hAnsi="Arial"/>
          <w:color w:val="1A1A2E"/>
          <w:sz w:val="20"/>
          <w:szCs w:val="20"/>
        </w:rPr>
        <w:t xml:space="preserve">Low credit score tier: 8–10% default probability vs 3–4% for High tier.</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8 — Risk Assessment" descr="Task 18 — Risk Assessment" title="Task 18 — Risk Assess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18 — Risk Assessment</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2.19  Time to Default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Average days to default ~280–320 days — most defaults occur in first loan year.</w:t>
      </w:r>
    </w:p>
    <w:p>
      <w:pPr>
        <w:pStyle w:val="ListParagraph"/>
        <w:numPr>
          <w:ilvl w:val="0"/>
          <w:numId w:val="2"/>
        </w:numPr>
        <w:spacing w:after="60"/>
      </w:pPr>
      <w:r>
        <w:rPr>
          <w:rFonts w:ascii="Arial" w:cs="Arial" w:eastAsia="Arial" w:hAnsi="Arial"/>
          <w:color w:val="1A1A2E"/>
          <w:sz w:val="20"/>
          <w:szCs w:val="20"/>
        </w:rPr>
        <w:t xml:space="preserve">Business and Home Renovation loans default fastest.</w:t>
      </w:r>
    </w:p>
    <w:p>
      <w:pPr>
        <w:pStyle w:val="ListParagraph"/>
        <w:numPr>
          <w:ilvl w:val="0"/>
          <w:numId w:val="2"/>
        </w:numPr>
        <w:spacing w:after="60"/>
      </w:pPr>
      <w:r>
        <w:rPr>
          <w:rFonts w:ascii="Arial" w:cs="Arial" w:eastAsia="Arial" w:hAnsi="Arial"/>
          <w:color w:val="1A1A2E"/>
          <w:sz w:val="20"/>
          <w:szCs w:val="20"/>
        </w:rPr>
        <w:t xml:space="preserve">Low credit score borrowers default ~60–90 days faster than high-score borrowers.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19 — Time to Default" descr="Task 19 — Time to Default" title="Task 19 — Time to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19 — Time to Default</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2.20  Transaction Pattern Analysis</w:t>
      </w:r>
    </w:p>
    <w:p>
      <w:pPr>
        <w:pStyle w:val="Heading3"/>
        <w:spacing w:after="60" w:before="160"/>
      </w:pPr>
      <w:r>
        <w:rPr>
          <w:rFonts w:ascii="Arial" w:cs="Arial" w:eastAsia="Arial" w:hAnsi="Arial"/>
          <w:b/>
          <w:bCs/>
          <w:color w:val="2E86AB"/>
          <w:sz w:val="22"/>
          <w:szCs w:val="22"/>
        </w:rPr>
        <w:t xml:space="preserve">Insights</w:t>
      </w:r>
    </w:p>
    <w:p>
      <w:pPr>
        <w:pStyle w:val="ListParagraph"/>
        <w:numPr>
          <w:ilvl w:val="0"/>
          <w:numId w:val="2"/>
        </w:numPr>
        <w:spacing w:after="60"/>
      </w:pPr>
      <w:r>
        <w:rPr>
          <w:rFonts w:ascii="Arial" w:cs="Arial" w:eastAsia="Arial" w:hAnsi="Arial"/>
          <w:color w:val="1A1A2E"/>
          <w:sz w:val="20"/>
          <w:szCs w:val="20"/>
        </w:rPr>
        <w:t xml:space="preserve">Penalty transactions (~16%) concentrated in Overdue cohort — early distress signal.</w:t>
      </w:r>
    </w:p>
    <w:p>
      <w:pPr>
        <w:pStyle w:val="ListParagraph"/>
        <w:numPr>
          <w:ilvl w:val="0"/>
          <w:numId w:val="2"/>
        </w:numPr>
        <w:spacing w:after="60"/>
      </w:pPr>
      <w:r>
        <w:rPr>
          <w:rFonts w:ascii="Arial" w:cs="Arial" w:eastAsia="Arial" w:hAnsi="Arial"/>
          <w:color w:val="1A1A2E"/>
          <w:sz w:val="20"/>
          <w:szCs w:val="20"/>
        </w:rPr>
        <w:t xml:space="preserve">Monthly overdue fees peak Q2/Q3 — ~9–11 months after Q1/Q2 disbursement uptick.</w:t>
      </w:r>
    </w:p>
    <w:p>
      <w:pPr>
        <w:pStyle w:val="ListParagraph"/>
        <w:numPr>
          <w:ilvl w:val="0"/>
          <w:numId w:val="2"/>
        </w:numPr>
        <w:spacing w:after="60"/>
      </w:pPr>
      <w:r>
        <w:rPr>
          <w:rFonts w:ascii="Arial" w:cs="Arial" w:eastAsia="Arial" w:hAnsi="Arial"/>
          <w:color w:val="1A1A2E"/>
          <w:sz w:val="20"/>
          <w:szCs w:val="20"/>
        </w:rPr>
        <w:t xml:space="preserve">Overdue loans show larger but less frequent catch-up payments.</w:t>
      </w:r>
    </w:p>
    <w:p>
      <w:pPr>
        <w:pStyle w:val="Heading3"/>
        <w:spacing w:after="60" w:before="160"/>
      </w:pPr>
      <w:r>
        <w:rPr>
          <w:rFonts w:ascii="Arial" w:cs="Arial" w:eastAsia="Arial" w:hAnsi="Arial"/>
          <w:b/>
          <w:bCs/>
          <w:color w:val="2E86AB"/>
          <w:sz w:val="22"/>
          <w:szCs w:val="22"/>
        </w:rPr>
        <w:t xml:space="preserve">Visualisation</w:t>
      </w:r>
    </w:p>
    <w:p>
      <w:pPr>
        <w:spacing w:after="40"/>
        <w:jc w:val="center"/>
      </w:pPr>
      <w:r>
        <w:drawing>
          <wp:inline distT="0" distB="0" distL="0" distR="0">
            <wp:extent cx="5286375" cy="3962400"/>
            <wp:effectExtent t="0" r="0" b="0" l="0"/>
            <wp:docPr id="1" name="Task 20 — Transaction Patterns" descr="Task 20 — Transaction Patterns" title="Task 20 — Transaction 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86375" cy="3962400"/>
                    </a:xfrm>
                    <a:prstGeom prst="rect">
                      <a:avLst/>
                    </a:prstGeom>
                  </pic:spPr>
                </pic:pic>
              </a:graphicData>
            </a:graphic>
          </wp:inline>
        </w:drawing>
      </w:r>
    </w:p>
    <w:p>
      <w:pPr>
        <w:spacing w:after="100"/>
        <w:jc w:val="center"/>
      </w:pPr>
      <w:r>
        <w:rPr>
          <w:rFonts w:ascii="Arial" w:cs="Arial" w:eastAsia="Arial" w:hAnsi="Arial"/>
          <w:i/>
          <w:iCs/>
          <w:color w:val="888888"/>
          <w:sz w:val="17"/>
          <w:szCs w:val="17"/>
        </w:rPr>
        <w:t xml:space="preserve">Figure: Task 20 — Transaction Patterns</w:t>
      </w:r>
    </w:p>
    <w:p>
      <w:pPr>
        <w:spacing w:after="200"/>
      </w:pPr>
      <w:r>
        <w:t xml:space="preserve"/>
      </w:r>
    </w:p>
    <w:p>
      <w:r>
        <w:br w:type="page"/>
      </w:r>
    </w:p>
    <w:p>
      <w:pPr>
        <w:pStyle w:val="Heading1"/>
        <w:pBdr>
          <w:bottom w:val="single" w:color="C0392B" w:sz="10" w:space="6"/>
        </w:pBdr>
        <w:spacing w:after="160" w:before="360"/>
      </w:pPr>
      <w:r>
        <w:rPr>
          <w:rFonts w:ascii="Arial" w:cs="Arial" w:eastAsia="Arial" w:hAnsi="Arial"/>
          <w:b/>
          <w:bCs/>
          <w:color w:val="1A1A2E"/>
          <w:sz w:val="34"/>
          <w:szCs w:val="34"/>
        </w:rPr>
        <w:t xml:space="preserve">2.2  Visualisation Summary</w:t>
      </w:r>
    </w:p>
    <w:p>
      <w:pPr>
        <w:spacing w:after="100"/>
      </w:pPr>
      <w:r>
        <w:rPr>
          <w:rFonts w:ascii="Arial" w:cs="Arial" w:eastAsia="Arial" w:hAnsi="Arial"/>
          <w:color w:val="1A1A2E"/>
          <w:sz w:val="20"/>
          <w:szCs w:val="20"/>
        </w:rPr>
        <w:t xml:space="preserve">All charts are available under reports/figures/ in the project repository.</w:t>
      </w:r>
    </w:p>
    <w:p>
      <w:pPr>
        <w:spacing w:after="100"/>
      </w:pPr>
      <w:r>
        <w:t xml:space="preserve"/>
      </w:r>
    </w:p>
    <w:p>
      <w:pPr>
        <w:spacing w:after="100"/>
      </w:pPr>
      <w:r>
        <w:rPr>
          <w:rFonts w:ascii="Arial" w:cs="Arial" w:eastAsia="Arial" w:hAnsi="Arial"/>
          <w:color w:val="1A1A2E"/>
          <w:sz w:val="20"/>
          <w:szCs w:val="20"/>
        </w:rPr>
        <w:t xml:space="preserve">Purpose: Identify patterns in the data · Detect anomalies · Support data-driven decision-making</w:t>
      </w:r>
    </w:p>
    <w:p>
      <w:pPr>
        <w:spacing w:after="100"/>
      </w:pPr>
      <w:r>
        <w:t xml:space="preserve"/>
      </w:r>
    </w:p>
    <w:p>
      <w:pPr>
        <w:spacing w:after="100"/>
      </w:pPr>
      <w:r>
        <w:rPr>
          <w:rFonts w:ascii="Arial" w:cs="Arial" w:eastAsia="Arial" w:hAnsi="Arial"/>
          <w:color w:val="1A1A2E"/>
          <w:sz w:val="20"/>
          <w:szCs w:val="20"/>
        </w:rPr>
        <w:t xml:space="preserve">Charts produced:</w:t>
      </w:r>
    </w:p>
    <w:p>
      <w:pPr>
        <w:pStyle w:val="ListParagraph"/>
        <w:numPr>
          <w:ilvl w:val="0"/>
          <w:numId w:val="2"/>
        </w:numPr>
        <w:spacing w:after="60"/>
      </w:pPr>
      <w:r>
        <w:rPr>
          <w:rFonts w:ascii="Arial" w:cs="Arial" w:eastAsia="Arial" w:hAnsi="Arial"/>
          <w:color w:val="1A1A2E"/>
          <w:sz w:val="20"/>
          <w:szCs w:val="20"/>
        </w:rPr>
        <w:t xml:space="preserve">Distribution Plots — loan amount, EMI, credit score, income, loan status</w:t>
      </w:r>
    </w:p>
    <w:p>
      <w:pPr>
        <w:pStyle w:val="ListParagraph"/>
        <w:numPr>
          <w:ilvl w:val="0"/>
          <w:numId w:val="2"/>
        </w:numPr>
        <w:spacing w:after="60"/>
      </w:pPr>
      <w:r>
        <w:rPr>
          <w:rFonts w:ascii="Arial" w:cs="Arial" w:eastAsia="Arial" w:hAnsi="Arial"/>
          <w:color w:val="1A1A2E"/>
          <w:sz w:val="20"/>
          <w:szCs w:val="20"/>
        </w:rPr>
        <w:t xml:space="preserve">Trend Plots — monthly applications, approvals, disbursements, default counts</w:t>
      </w:r>
    </w:p>
    <w:p>
      <w:pPr>
        <w:pStyle w:val="ListParagraph"/>
        <w:numPr>
          <w:ilvl w:val="0"/>
          <w:numId w:val="2"/>
        </w:numPr>
        <w:spacing w:after="60"/>
      </w:pPr>
      <w:r>
        <w:rPr>
          <w:rFonts w:ascii="Arial" w:cs="Arial" w:eastAsia="Arial" w:hAnsi="Arial"/>
          <w:color w:val="1A1A2E"/>
          <w:sz w:val="20"/>
          <w:szCs w:val="20"/>
        </w:rPr>
        <w:t xml:space="preserve">Correlation Heatmaps — loan attribute, default risk, EMI/overdue pairwise matrices</w:t>
      </w:r>
    </w:p>
    <w:p>
      <w:pPr>
        <w:pStyle w:val="ListParagraph"/>
        <w:numPr>
          <w:ilvl w:val="0"/>
          <w:numId w:val="2"/>
        </w:numPr>
        <w:spacing w:after="60"/>
      </w:pPr>
      <w:r>
        <w:rPr>
          <w:rFonts w:ascii="Arial" w:cs="Arial" w:eastAsia="Arial" w:hAnsi="Arial"/>
          <w:color w:val="1A1A2E"/>
          <w:sz w:val="20"/>
          <w:szCs w:val="20"/>
        </w:rPr>
        <w:t xml:space="preserve">Time-Series Charts — seasonal patterns, regional default rates over time</w:t>
      </w:r>
    </w:p>
    <w:p>
      <w:pPr>
        <w:pStyle w:val="ListParagraph"/>
        <w:numPr>
          <w:ilvl w:val="0"/>
          <w:numId w:val="2"/>
        </w:numPr>
        <w:spacing w:after="60"/>
      </w:pPr>
      <w:r>
        <w:rPr>
          <w:rFonts w:ascii="Arial" w:cs="Arial" w:eastAsia="Arial" w:hAnsi="Arial"/>
          <w:color w:val="1A1A2E"/>
          <w:sz w:val="20"/>
          <w:szCs w:val="20"/>
        </w:rPr>
        <w:t xml:space="preserve">Bar Charts — regional comparisons, segmentation breakdowns, risk matrices</w:t>
      </w:r>
    </w:p>
    <w:p>
      <w:pPr>
        <w:spacing w:after="200"/>
      </w:pPr>
      <w:r>
        <w:t xml:space="preserve"/>
      </w:r>
    </w:p>
    <w:p>
      <w:r>
        <w:br w:type="page"/>
      </w:r>
    </w:p>
    <w:p>
      <w:pPr>
        <w:pStyle w:val="Heading1"/>
        <w:pBdr>
          <w:bottom w:val="single" w:color="C0392B" w:sz="10" w:space="6"/>
        </w:pBdr>
        <w:spacing w:after="160" w:before="360"/>
      </w:pPr>
      <w:r>
        <w:rPr>
          <w:rFonts w:ascii="Arial" w:cs="Arial" w:eastAsia="Arial" w:hAnsi="Arial"/>
          <w:b/>
          <w:bCs/>
          <w:color w:val="1A1A2E"/>
          <w:sz w:val="34"/>
          <w:szCs w:val="34"/>
        </w:rPr>
        <w:t xml:space="preserve">2.3  Recommendations</w:t>
      </w:r>
    </w:p>
    <w:p>
      <w:pPr>
        <w:spacing w:after="100"/>
      </w:pPr>
      <w:r>
        <w:rPr>
          <w:rFonts w:ascii="Arial" w:cs="Arial" w:eastAsia="Arial" w:hAnsi="Arial"/>
          <w:color w:val="1A1A2E"/>
          <w:sz w:val="20"/>
          <w:szCs w:val="20"/>
        </w:rPr>
        <w:t xml:space="preserve">Eight data-driven recommendations derived directly from the 16 completed analysis tasks:</w:t>
      </w:r>
    </w:p>
    <w:p>
      <w:pPr>
        <w:spacing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6660"/>
        <w:gridCol w:w="1200"/>
      </w:tblGrid>
      <w:tr>
        <w:trPr>
          <w:tblHeader/>
        </w:trPr>
        <w:tc>
          <w:tcPr>
            <w:tcW w:type="dxa" w:w="500"/>
            <w:tcBorders>
              <w:top w:val="single" w:color="FFFFFF" w:sz="1"/>
              <w:left w:val="single" w:color="FFFFFF" w:sz="1"/>
              <w:bottom w:val="single" w:color="FFFFFF" w:sz="1"/>
              <w:right w:val="single" w:color="FFFFFF" w:sz="1"/>
            </w:tcBorders>
            <w:shd w:fill="1A1A2E" w:val="clear"/>
            <w:tcMar>
              <w:top w:type="dxa" w:w="90"/>
              <w:left w:type="dxa" w:w="110"/>
              <w:bottom w:type="dxa" w:w="90"/>
              <w:right w:type="dxa" w:w="110"/>
            </w:tcMar>
          </w:tcPr>
          <w:p>
            <w:r>
              <w:rPr>
                <w:rFonts w:ascii="Arial" w:cs="Arial" w:eastAsia="Arial" w:hAnsi="Arial"/>
                <w:b/>
                <w:bCs/>
                <w:color w:val="FFFFFF"/>
                <w:sz w:val="19"/>
                <w:szCs w:val="19"/>
              </w:rPr>
              <w:t xml:space="preserve">#</w:t>
            </w:r>
          </w:p>
        </w:tc>
        <w:tc>
          <w:tcPr>
            <w:tcW w:type="dxa" w:w="6660"/>
            <w:tcBorders>
              <w:top w:val="single" w:color="FFFFFF" w:sz="1"/>
              <w:left w:val="single" w:color="FFFFFF" w:sz="1"/>
              <w:bottom w:val="single" w:color="FFFFFF" w:sz="1"/>
              <w:right w:val="single" w:color="FFFFFF" w:sz="1"/>
            </w:tcBorders>
            <w:shd w:fill="1A1A2E" w:val="clear"/>
            <w:tcMar>
              <w:top w:type="dxa" w:w="90"/>
              <w:left w:type="dxa" w:w="110"/>
              <w:bottom w:type="dxa" w:w="90"/>
              <w:right w:type="dxa" w:w="110"/>
            </w:tcMar>
          </w:tcPr>
          <w:p>
            <w:r>
              <w:rPr>
                <w:rFonts w:ascii="Arial" w:cs="Arial" w:eastAsia="Arial" w:hAnsi="Arial"/>
                <w:b/>
                <w:bCs/>
                <w:color w:val="FFFFFF"/>
                <w:sz w:val="19"/>
                <w:szCs w:val="19"/>
              </w:rPr>
              <w:t xml:space="preserve">Recommendation</w:t>
            </w:r>
          </w:p>
        </w:tc>
        <w:tc>
          <w:tcPr>
            <w:tcW w:type="dxa" w:w="1200"/>
            <w:tcBorders>
              <w:top w:val="single" w:color="FFFFFF" w:sz="1"/>
              <w:left w:val="single" w:color="FFFFFF" w:sz="1"/>
              <w:bottom w:val="single" w:color="FFFFFF" w:sz="1"/>
              <w:right w:val="single" w:color="FFFFFF" w:sz="1"/>
            </w:tcBorders>
            <w:shd w:fill="1A1A2E" w:val="clear"/>
            <w:tcMar>
              <w:top w:type="dxa" w:w="90"/>
              <w:left w:type="dxa" w:w="110"/>
              <w:bottom w:type="dxa" w:w="90"/>
              <w:right w:type="dxa" w:w="110"/>
            </w:tcMar>
          </w:tcPr>
          <w:p>
            <w:r>
              <w:rPr>
                <w:rFonts w:ascii="Arial" w:cs="Arial" w:eastAsia="Arial" w:hAnsi="Arial"/>
                <w:b/>
                <w:bCs/>
                <w:color w:val="FFFFFF"/>
                <w:sz w:val="19"/>
                <w:szCs w:val="19"/>
              </w:rPr>
              <w:t xml:space="preserve">Priority</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R1</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Introduce tiered credit score thresholds — require ≥650 for high-value loans; tiered interest rates by score band.</w:t>
            </w:r>
          </w:p>
        </w:tc>
        <w:tc>
          <w:tcPr>
            <w:tcW w:type="dxa" w:w="12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High</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R2</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Cap EMI-to-income ratio at 40% at point of approval. Flag breaches for manual credit review before disbursement.</w:t>
            </w:r>
          </w:p>
        </w:tc>
        <w:tc>
          <w:tcPr>
            <w:tcW w:type="dxa" w:w="12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High</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R3</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Prioritise legal recovery in Central and South regions — default rates highest, recovery rates below average.</w:t>
            </w:r>
          </w:p>
        </w:tc>
        <w:tc>
          <w:tcPr>
            <w:tcW w:type="dxa" w:w="12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High</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R4</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Structured repayment support for low-income segment (&lt; ₹3L) to reduce elevated default vulnerability.</w:t>
            </w:r>
          </w:p>
        </w:tc>
        <w:tc>
          <w:tcPr>
            <w:tcW w:type="dxa" w:w="12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High</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R5</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Audit disbursement workflows for Business and Home Renovation loans — above-average processing times across regions.</w:t>
            </w:r>
          </w:p>
        </w:tc>
        <w:tc>
          <w:tcPr>
            <w:tcW w:type="dxa" w:w="1200"/>
            <w:tcBorders>
              <w:top w:val="single" w:color="AAAAAA" w:sz="1"/>
              <w:left w:val="single" w:color="AAAAAA" w:sz="1"/>
              <w:bottom w:val="single" w:color="AAAAAA" w:sz="1"/>
              <w:right w:val="single" w:color="AAAAAA" w:sz="1"/>
            </w:tcBorders>
            <w:shd w:fill="E67E22" w:val="clear"/>
            <w:tcMar>
              <w:top w:type="dxa" w:w="85"/>
              <w:left w:type="dxa" w:w="110"/>
              <w:bottom w:type="dxa" w:w="85"/>
              <w:right w:type="dxa" w:w="110"/>
            </w:tcMar>
            <w:vAlign w:val="center"/>
          </w:tcPr>
          <w:p>
            <w:r>
              <w:rPr>
                <w:rFonts w:ascii="Arial" w:cs="Arial" w:eastAsia="Arial" w:hAnsi="Arial"/>
                <w:b/>
                <w:bCs/>
                <w:color w:val="FFFFFF"/>
                <w:sz w:val="18"/>
                <w:szCs w:val="18"/>
              </w:rPr>
              <w:t xml:space="preserve">Medium</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R6</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Promote EMI auto-debit to reduce penalty transaction reliance — penalties indicate cash-flow stress pre-default.</w:t>
            </w:r>
          </w:p>
        </w:tc>
        <w:tc>
          <w:tcPr>
            <w:tcW w:type="dxa" w:w="1200"/>
            <w:tcBorders>
              <w:top w:val="single" w:color="AAAAAA" w:sz="1"/>
              <w:left w:val="single" w:color="AAAAAA" w:sz="1"/>
              <w:bottom w:val="single" w:color="AAAAAA" w:sz="1"/>
              <w:right w:val="single" w:color="AAAAAA" w:sz="1"/>
            </w:tcBorders>
            <w:shd w:fill="E67E22" w:val="clear"/>
            <w:tcMar>
              <w:top w:type="dxa" w:w="85"/>
              <w:left w:type="dxa" w:w="110"/>
              <w:bottom w:type="dxa" w:w="85"/>
              <w:right w:type="dxa" w:w="110"/>
            </w:tcMar>
            <w:vAlign w:val="center"/>
          </w:tcPr>
          <w:p>
            <w:r>
              <w:rPr>
                <w:rFonts w:ascii="Arial" w:cs="Arial" w:eastAsia="Arial" w:hAnsi="Arial"/>
                <w:b/>
                <w:bCs/>
                <w:color w:val="FFFFFF"/>
                <w:sz w:val="18"/>
                <w:szCs w:val="18"/>
              </w:rPr>
              <w:t xml:space="preserve">Medium</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R7</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Add BRANCH_ID to loans.csv and applications.csv to unlock branch-level efficiency analysis (Task 15 gap).</w:t>
            </w:r>
          </w:p>
        </w:tc>
        <w:tc>
          <w:tcPr>
            <w:tcW w:type="dxa" w:w="1200"/>
            <w:tcBorders>
              <w:top w:val="single" w:color="AAAAAA" w:sz="1"/>
              <w:left w:val="single" w:color="AAAAAA" w:sz="1"/>
              <w:bottom w:val="single" w:color="AAAAAA" w:sz="1"/>
              <w:right w:val="single" w:color="AAAAAA" w:sz="1"/>
            </w:tcBorders>
            <w:shd w:fill="E67E22" w:val="clear"/>
            <w:tcMar>
              <w:top w:type="dxa" w:w="85"/>
              <w:left w:type="dxa" w:w="110"/>
              <w:bottom w:type="dxa" w:w="85"/>
              <w:right w:type="dxa" w:w="110"/>
            </w:tcMar>
            <w:vAlign w:val="center"/>
          </w:tcPr>
          <w:p>
            <w:r>
              <w:rPr>
                <w:rFonts w:ascii="Arial" w:cs="Arial" w:eastAsia="Arial" w:hAnsi="Arial"/>
                <w:b/>
                <w:bCs/>
                <w:color w:val="FFFFFF"/>
                <w:sz w:val="18"/>
                <w:szCs w:val="18"/>
              </w:rPr>
              <w:t xml:space="preserve">Medium</w:t>
            </w:r>
          </w:p>
        </w:tc>
      </w:tr>
      <w:tr>
        <w:tc>
          <w:tcPr>
            <w:tcW w:type="dxa" w:w="500"/>
            <w:tcBorders>
              <w:top w:val="single" w:color="AAAAAA" w:sz="1"/>
              <w:left w:val="single" w:color="AAAAAA" w:sz="1"/>
              <w:bottom w:val="single" w:color="AAAAAA" w:sz="1"/>
              <w:right w:val="single" w:color="AAAAAA" w:sz="1"/>
            </w:tcBorders>
            <w:shd w:fill="C0392B" w:val="clear"/>
            <w:tcMar>
              <w:top w:type="dxa" w:w="85"/>
              <w:left w:type="dxa" w:w="110"/>
              <w:bottom w:type="dxa" w:w="85"/>
              <w:right w:type="dxa" w:w="110"/>
            </w:tcMar>
            <w:vAlign w:val="center"/>
          </w:tcPr>
          <w:p>
            <w:r>
              <w:rPr>
                <w:rFonts w:ascii="Arial" w:cs="Arial" w:eastAsia="Arial" w:hAnsi="Arial"/>
                <w:b/>
                <w:bCs/>
                <w:color w:val="FFFFFF"/>
                <w:sz w:val="18"/>
                <w:szCs w:val="18"/>
              </w:rPr>
              <w:t xml:space="preserve">R8</w:t>
            </w:r>
          </w:p>
        </w:tc>
        <w:tc>
          <w:tcPr>
            <w:tcW w:type="dxa" w:w="6660"/>
            <w:tcBorders>
              <w:top w:val="single" w:color="AAAAAA" w:sz="1"/>
              <w:left w:val="single" w:color="AAAAAA" w:sz="1"/>
              <w:bottom w:val="single" w:color="AAAAAA" w:sz="1"/>
              <w:right w:val="single" w:color="AAAAAA" w:sz="1"/>
            </w:tcBorders>
            <w:shd w:fill="FFFFFF" w:val="clear"/>
            <w:tcMar>
              <w:top w:type="dxa" w:w="85"/>
              <w:left w:type="dxa" w:w="110"/>
              <w:bottom w:type="dxa" w:w="85"/>
              <w:right w:type="dxa" w:w="110"/>
            </w:tcMar>
            <w:vAlign w:val="center"/>
          </w:tcPr>
          <w:p>
            <w:r>
              <w:rPr>
                <w:rFonts w:ascii="Arial" w:cs="Arial" w:eastAsia="Arial" w:hAnsi="Arial"/>
                <w:b w:val="false"/>
                <w:bCs w:val="false"/>
                <w:color w:val="1A1A2E"/>
                <w:sz w:val="18"/>
                <w:szCs w:val="18"/>
              </w:rPr>
              <w:t xml:space="preserve">Early-warning model using LOAN_STATUS + OVERDUE_AMOUNT + PAYMENT_TYPE — flag at-risk loans 60 days before default.</w:t>
            </w:r>
          </w:p>
        </w:tc>
        <w:tc>
          <w:tcPr>
            <w:tcW w:type="dxa" w:w="1200"/>
            <w:tcBorders>
              <w:top w:val="single" w:color="AAAAAA" w:sz="1"/>
              <w:left w:val="single" w:color="AAAAAA" w:sz="1"/>
              <w:bottom w:val="single" w:color="AAAAAA" w:sz="1"/>
              <w:right w:val="single" w:color="AAAAAA" w:sz="1"/>
            </w:tcBorders>
            <w:shd w:fill="27AE60" w:val="clear"/>
            <w:tcMar>
              <w:top w:type="dxa" w:w="85"/>
              <w:left w:type="dxa" w:w="110"/>
              <w:bottom w:type="dxa" w:w="85"/>
              <w:right w:type="dxa" w:w="110"/>
            </w:tcMar>
            <w:vAlign w:val="center"/>
          </w:tcPr>
          <w:p>
            <w:r>
              <w:rPr>
                <w:rFonts w:ascii="Arial" w:cs="Arial" w:eastAsia="Arial" w:hAnsi="Arial"/>
                <w:b/>
                <w:bCs/>
                <w:color w:val="FFFFFF"/>
                <w:sz w:val="18"/>
                <w:szCs w:val="18"/>
              </w:rPr>
              <w:t xml:space="preserve">Low</w:t>
            </w:r>
          </w:p>
        </w:tc>
      </w:tr>
    </w:tbl>
    <w:p>
      <w:pPr>
        <w:spacing w:after="200"/>
      </w:pPr>
      <w:r>
        <w:t xml:space="preserve"/>
      </w:r>
    </w:p>
    <w:p>
      <w:r>
        <w:br w:type="page"/>
      </w:r>
    </w:p>
    <w:p>
      <w:pPr>
        <w:pStyle w:val="Heading1"/>
        <w:pBdr>
          <w:bottom w:val="single" w:color="C0392B" w:sz="10" w:space="6"/>
        </w:pBdr>
        <w:spacing w:after="160" w:before="360"/>
      </w:pPr>
      <w:r>
        <w:rPr>
          <w:rFonts w:ascii="Arial" w:cs="Arial" w:eastAsia="Arial" w:hAnsi="Arial"/>
          <w:b/>
          <w:bCs/>
          <w:color w:val="1A1A2E"/>
          <w:sz w:val="34"/>
          <w:szCs w:val="34"/>
        </w:rPr>
        <w:t xml:space="preserve">3. Project Architecture</w:t>
      </w:r>
    </w:p>
    <w:p>
      <w:pPr>
        <w:spacing w:after="100"/>
      </w:pPr>
      <w:r>
        <w:rPr>
          <w:rFonts w:ascii="Arial" w:cs="Arial" w:eastAsia="Arial" w:hAnsi="Arial"/>
          <w:color w:val="1A1A2E"/>
          <w:sz w:val="20"/>
          <w:szCs w:val="20"/>
        </w:rPr>
        <w:t xml:space="preserve">Comprehensive architecture documentation for the Hero FinCorp data analysis project.</w:t>
      </w:r>
    </w:p>
    <w:p>
      <w:pPr>
        <w:spacing w:after="100"/>
      </w:pPr>
      <w:r>
        <w:t xml:space="preserve"/>
      </w:r>
    </w:p>
    <w:p>
      <w:pPr>
        <w:pStyle w:val="Heading2"/>
        <w:spacing w:after="100" w:before="240"/>
      </w:pPr>
      <w:r>
        <w:rPr>
          <w:rFonts w:ascii="Arial" w:cs="Arial" w:eastAsia="Arial" w:hAnsi="Arial"/>
          <w:b/>
          <w:bCs/>
          <w:color w:val="1A1A2E"/>
          <w:sz w:val="26"/>
          <w:szCs w:val="26"/>
        </w:rPr>
        <w:t xml:space="preserve">3.0  Business Requirements Diagram (BRD) — Entity Relationship</w:t>
      </w:r>
    </w:p>
    <w:p>
      <w:pPr>
        <w:spacing w:after="100"/>
      </w:pPr>
      <w:r>
        <w:rPr>
          <w:rFonts w:ascii="Arial" w:cs="Arial" w:eastAsia="Arial" w:hAnsi="Arial"/>
          <w:color w:val="1A1A2E"/>
          <w:sz w:val="20"/>
          <w:szCs w:val="20"/>
        </w:rPr>
        <w:t xml:space="preserve">The diagram below maps all six Hero FinCorp datasets, their key columns, primary keys (PK), foreign keys (FK), and the relationships between them. Loans is the central hub connecting all tables via Loan_ID and Customer_ID.</w:t>
      </w:r>
    </w:p>
    <w:p>
      <w:pPr>
        <w:spacing w:after="100"/>
      </w:pPr>
      <w:r>
        <w:t xml:space="preserve"/>
      </w:r>
    </w:p>
    <w:p>
      <w:pPr>
        <w:spacing w:after="50"/>
        <w:jc w:val="center"/>
      </w:pPr>
      <w:r>
        <w:drawing>
          <wp:inline distT="0" distB="0" distL="0" distR="0">
            <wp:extent cx="5286375" cy="3524250"/>
            <wp:effectExtent t="0" r="0" b="0" l="0"/>
            <wp:docPr id="1" name="Figure 3.0 — Entity Relationship Diagram (ERD) — All 6 Datasets" descr="Figure 3.0 — Entity Relationship Diagram (ERD) — All 6 Datasets" title="Figure 3.0 — Entity Relationship Diagram (ERD) — All 6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86375" cy="3524250"/>
                    </a:xfrm>
                    <a:prstGeom prst="rect">
                      <a:avLst/>
                    </a:prstGeom>
                  </pic:spPr>
                </pic:pic>
              </a:graphicData>
            </a:graphic>
          </wp:inline>
        </w:drawing>
      </w:r>
    </w:p>
    <w:p>
      <w:pPr>
        <w:spacing w:after="140"/>
        <w:jc w:val="center"/>
      </w:pPr>
      <w:r>
        <w:rPr>
          <w:rFonts w:ascii="Arial" w:cs="Arial" w:eastAsia="Arial" w:hAnsi="Arial"/>
          <w:b/>
          <w:bCs/>
          <w:i/>
          <w:iCs/>
          <w:color w:val="888888"/>
          <w:sz w:val="18"/>
          <w:szCs w:val="18"/>
        </w:rPr>
        <w:t xml:space="preserve">Figure 3.0 — Entity Relationship Diagram (ERD) — All 6 Datasets</w:t>
      </w:r>
    </w:p>
    <w:p>
      <w:pPr>
        <w:spacing w:after="200"/>
      </w:pPr>
      <w:r>
        <w:t xml:space="preserve"/>
      </w:r>
    </w:p>
    <w:p>
      <w:pPr>
        <w:pStyle w:val="Heading3"/>
        <w:spacing w:after="60" w:before="160"/>
      </w:pPr>
      <w:r>
        <w:rPr>
          <w:rFonts w:ascii="Arial" w:cs="Arial" w:eastAsia="Arial" w:hAnsi="Arial"/>
          <w:b/>
          <w:bCs/>
          <w:color w:val="2E86AB"/>
          <w:sz w:val="22"/>
          <w:szCs w:val="22"/>
        </w:rPr>
        <w:t xml:space="preserve">Entity Relationship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3960"/>
      </w:tblGrid>
      <w:tr>
        <w:trPr>
          <w:tblHeader/>
        </w:trPr>
        <w:tc>
          <w:tcPr>
            <w:tcW w:type="dxa" w:w="1800"/>
            <w:tcBorders>
              <w:top w:val="single" w:color="FFFFFF" w:sz="1"/>
              <w:left w:val="single" w:color="FFFFFF" w:sz="1"/>
              <w:bottom w:val="single" w:color="FFFFFF" w:sz="1"/>
              <w:right w:val="single" w:color="FFFFFF" w:sz="1"/>
            </w:tcBorders>
            <w:shd w:fill="C0392B" w:val="clear"/>
            <w:tcMar>
              <w:top w:type="dxa" w:w="100"/>
              <w:left w:type="dxa" w:w="130"/>
              <w:bottom w:type="dxa" w:w="100"/>
              <w:right w:type="dxa" w:w="130"/>
            </w:tcMar>
            <w:vAlign w:val="center"/>
          </w:tcPr>
          <w:p>
            <w:r>
              <w:rPr>
                <w:rFonts w:ascii="Arial" w:cs="Arial" w:eastAsia="Arial" w:hAnsi="Arial"/>
                <w:b/>
                <w:bCs/>
                <w:color w:val="FFFFFF"/>
                <w:sz w:val="19"/>
                <w:szCs w:val="19"/>
              </w:rPr>
              <w:t xml:space="preserve">Entity</w:t>
            </w:r>
          </w:p>
        </w:tc>
        <w:tc>
          <w:tcPr>
            <w:tcW w:type="dxa" w:w="1600"/>
            <w:tcBorders>
              <w:top w:val="single" w:color="FFFFFF" w:sz="1"/>
              <w:left w:val="single" w:color="FFFFFF" w:sz="1"/>
              <w:bottom w:val="single" w:color="FFFFFF" w:sz="1"/>
              <w:right w:val="single" w:color="FFFFFF" w:sz="1"/>
            </w:tcBorders>
            <w:shd w:fill="C0392B" w:val="clear"/>
            <w:tcMar>
              <w:top w:type="dxa" w:w="100"/>
              <w:left w:type="dxa" w:w="130"/>
              <w:bottom w:type="dxa" w:w="100"/>
              <w:right w:type="dxa" w:w="130"/>
            </w:tcMar>
            <w:vAlign w:val="center"/>
          </w:tcPr>
          <w:p>
            <w:r>
              <w:rPr>
                <w:rFonts w:ascii="Arial" w:cs="Arial" w:eastAsia="Arial" w:hAnsi="Arial"/>
                <w:b/>
                <w:bCs/>
                <w:color w:val="FFFFFF"/>
                <w:sz w:val="19"/>
                <w:szCs w:val="19"/>
              </w:rPr>
              <w:t xml:space="preserve">Primary Key</w:t>
            </w:r>
          </w:p>
        </w:tc>
        <w:tc>
          <w:tcPr>
            <w:tcW w:type="dxa" w:w="2000"/>
            <w:tcBorders>
              <w:top w:val="single" w:color="FFFFFF" w:sz="1"/>
              <w:left w:val="single" w:color="FFFFFF" w:sz="1"/>
              <w:bottom w:val="single" w:color="FFFFFF" w:sz="1"/>
              <w:right w:val="single" w:color="FFFFFF" w:sz="1"/>
            </w:tcBorders>
            <w:shd w:fill="C0392B" w:val="clear"/>
            <w:tcMar>
              <w:top w:type="dxa" w:w="100"/>
              <w:left w:type="dxa" w:w="130"/>
              <w:bottom w:type="dxa" w:w="100"/>
              <w:right w:type="dxa" w:w="130"/>
            </w:tcMar>
            <w:vAlign w:val="center"/>
          </w:tcPr>
          <w:p>
            <w:r>
              <w:rPr>
                <w:rFonts w:ascii="Arial" w:cs="Arial" w:eastAsia="Arial" w:hAnsi="Arial"/>
                <w:b/>
                <w:bCs/>
                <w:color w:val="FFFFFF"/>
                <w:sz w:val="19"/>
                <w:szCs w:val="19"/>
              </w:rPr>
              <w:t xml:space="preserve">Foreign Keys</w:t>
            </w:r>
          </w:p>
        </w:tc>
        <w:tc>
          <w:tcPr>
            <w:tcW w:type="dxa" w:w="3960"/>
            <w:tcBorders>
              <w:top w:val="single" w:color="FFFFFF" w:sz="1"/>
              <w:left w:val="single" w:color="FFFFFF" w:sz="1"/>
              <w:bottom w:val="single" w:color="FFFFFF" w:sz="1"/>
              <w:right w:val="single" w:color="FFFFFF" w:sz="1"/>
            </w:tcBorders>
            <w:shd w:fill="C0392B" w:val="clear"/>
            <w:tcMar>
              <w:top w:type="dxa" w:w="100"/>
              <w:left w:type="dxa" w:w="130"/>
              <w:bottom w:type="dxa" w:w="100"/>
              <w:right w:type="dxa" w:w="130"/>
            </w:tcMar>
            <w:vAlign w:val="center"/>
          </w:tcPr>
          <w:p>
            <w:r>
              <w:rPr>
                <w:rFonts w:ascii="Arial" w:cs="Arial" w:eastAsia="Arial" w:hAnsi="Arial"/>
                <w:b/>
                <w:bCs/>
                <w:color w:val="FFFFFF"/>
                <w:sz w:val="19"/>
                <w:szCs w:val="19"/>
              </w:rPr>
              <w:t xml:space="preserve">Relationship</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Customers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Customer_ID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Parent of Loans, Applications, Transactions, Defaults</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Loans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Loan_ID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Customer_ID</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Central hub — linked to all 5 other tables</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Applications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Application_ID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Loan_ID, Customer_ID</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1:1 with Loans; 1:Many from Customers</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Transactions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Transaction_ID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Loan_ID, Customer_ID</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1:Many from Loans and Customers</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Defaults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Default_ID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Loan_ID, Customer_ID</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1:1 with Loans; 1:Many from Customers</w:t>
            </w:r>
          </w:p>
        </w:tc>
      </w:tr>
      <w:tr>
        <w:trPr>
          <w:tblHeader w:val="false"/>
        </w:trPr>
        <w:tc>
          <w:tcPr>
            <w:tcW w:type="dxa" w:w="1800"/>
            <w:tcBorders>
              <w:top w:val="single" w:color="AAAAAA" w:sz="1"/>
              <w:left w:val="single" w:color="AAAAAA" w:sz="1"/>
              <w:bottom w:val="single" w:color="AAAAAA" w:sz="1"/>
              <w:right w:val="single" w:color="AAAAAA" w:sz="1"/>
            </w:tcBorders>
            <w:shd w:fill="F2F2F2" w:val="clear"/>
            <w:tcMar>
              <w:top w:type="dxa" w:w="100"/>
              <w:left w:type="dxa" w:w="130"/>
              <w:bottom w:type="dxa" w:w="100"/>
              <w:right w:type="dxa" w:w="130"/>
            </w:tcMar>
            <w:vAlign w:val="center"/>
          </w:tcPr>
          <w:p>
            <w:r>
              <w:rPr>
                <w:rFonts w:ascii="Arial" w:cs="Arial" w:eastAsia="Arial" w:hAnsi="Arial"/>
                <w:b/>
                <w:bCs/>
                <w:color w:val="1A1A2E"/>
                <w:sz w:val="19"/>
                <w:szCs w:val="19"/>
              </w:rPr>
              <w:t xml:space="preserve">Branches</w:t>
            </w:r>
          </w:p>
        </w:tc>
        <w:tc>
          <w:tcPr>
            <w:tcW w:type="dxa" w:w="16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Branch_ID</w:t>
            </w:r>
          </w:p>
        </w:tc>
        <w:tc>
          <w:tcPr>
            <w:tcW w:type="dxa" w:w="200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w:t>
            </w:r>
          </w:p>
        </w:tc>
        <w:tc>
          <w:tcPr>
            <w:tcW w:type="dxa" w:w="3960"/>
            <w:tcBorders>
              <w:top w:val="single" w:color="AAAAAA" w:sz="1"/>
              <w:left w:val="single" w:color="AAAAAA" w:sz="1"/>
              <w:bottom w:val="single" w:color="AAAAAA" w:sz="1"/>
              <w:right w:val="single" w:color="AAAAAA" w:sz="1"/>
            </w:tcBorders>
            <w:shd w:fill="FFFFFF" w:val="clear"/>
            <w:tcMar>
              <w:top w:type="dxa" w:w="100"/>
              <w:left w:type="dxa" w:w="130"/>
              <w:bottom w:type="dxa" w:w="100"/>
              <w:right w:type="dxa" w:w="130"/>
            </w:tcMar>
            <w:vAlign w:val="center"/>
          </w:tcPr>
          <w:p>
            <w:r>
              <w:rPr>
                <w:rFonts w:ascii="Arial" w:cs="Arial" w:eastAsia="Arial" w:hAnsi="Arial"/>
                <w:b w:val="false"/>
                <w:bCs w:val="false"/>
                <w:color w:val="1A1A2E"/>
                <w:sz w:val="19"/>
                <w:szCs w:val="19"/>
              </w:rPr>
              <w:t xml:space="preserve">Linked to Loans indirectly via Region column</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FFFF" w:sz="1"/>
              <w:left w:val="single" w:color="FFFFFF" w:sz="1"/>
              <w:bottom w:val="single" w:color="FFFFFF" w:sz="1"/>
              <w:right w:val="single" w:color="FFFFFF" w:sz="1"/>
            </w:tcBorders>
            <w:shd w:fill="C0392B" w:val="clear"/>
            <w:tcMar>
              <w:top w:type="dxa" w:w="100"/>
              <w:left w:type="dxa" w:w="150"/>
              <w:bottom w:type="dxa" w:w="100"/>
              <w:right w:type="dxa" w:w="150"/>
            </w:tcMar>
          </w:tcPr>
          <w:p>
            <w:r>
              <w:rPr>
                <w:rFonts w:ascii="Arial" w:cs="Arial" w:eastAsia="Arial" w:hAnsi="Arial"/>
                <w:b/>
                <w:bCs/>
                <w:color w:val="FFFFFF"/>
                <w:sz w:val="22"/>
                <w:szCs w:val="22"/>
              </w:rPr>
              <w:t xml:space="preserve">Key Design Notes</w:t>
            </w:r>
          </w:p>
        </w:tc>
      </w:tr>
      <w:tr>
        <w:tc>
          <w:tcPr>
            <w:tcW w:type="dxa" w:w="9360"/>
            <w:tcBorders>
              <w:top w:val="single" w:color="AAAAAA" w:sz="1"/>
              <w:left w:val="single" w:color="AAAAAA" w:sz="1"/>
              <w:bottom w:val="single" w:color="AAAAAA" w:sz="1"/>
              <w:right w:val="single" w:color="AAAAAA" w:sz="1"/>
            </w:tcBorders>
            <w:shd w:fill="FFFFFF" w:val="clear"/>
            <w:tcMar>
              <w:top w:type="dxa" w:w="90"/>
              <w:left w:type="dxa" w:w="150"/>
              <w:bottom w:type="dxa" w:w="90"/>
              <w:right w:type="dxa" w:w="150"/>
            </w:tcMar>
          </w:tcPr>
          <w:p>
            <w:r>
              <w:rPr>
                <w:rFonts w:ascii="Arial" w:cs="Arial" w:eastAsia="Arial" w:hAnsi="Arial"/>
                <w:b/>
                <w:bCs/>
                <w:color w:val="C0392B"/>
                <w:sz w:val="20"/>
                <w:szCs w:val="20"/>
              </w:rPr>
              <w:t xml:space="preserve">• </w:t>
            </w:r>
            <w:r>
              <w:rPr>
                <w:rFonts w:ascii="Arial" w:cs="Arial" w:eastAsia="Arial" w:hAnsi="Arial"/>
                <w:color w:val="1A1A2E"/>
                <w:sz w:val="20"/>
                <w:szCs w:val="20"/>
              </w:rPr>
              <w:t xml:space="preserve">Loans is the central entity — every analysis task joins to Loans via Loan_ID.</w:t>
            </w:r>
          </w:p>
        </w:tc>
      </w:tr>
      <w:tr>
        <w:tc>
          <w:tcPr>
            <w:tcW w:type="dxa" w:w="9360"/>
            <w:tcBorders>
              <w:top w:val="single" w:color="AAAAAA" w:sz="1"/>
              <w:left w:val="single" w:color="AAAAAA" w:sz="1"/>
              <w:bottom w:val="single" w:color="AAAAAA" w:sz="1"/>
              <w:right w:val="single" w:color="AAAAAA" w:sz="1"/>
            </w:tcBorders>
            <w:shd w:fill="FFFFFF" w:val="clear"/>
            <w:tcMar>
              <w:top w:type="dxa" w:w="90"/>
              <w:left w:type="dxa" w:w="150"/>
              <w:bottom w:type="dxa" w:w="90"/>
              <w:right w:type="dxa" w:w="150"/>
            </w:tcMar>
          </w:tcPr>
          <w:p>
            <w:r>
              <w:rPr>
                <w:rFonts w:ascii="Arial" w:cs="Arial" w:eastAsia="Arial" w:hAnsi="Arial"/>
                <w:b/>
                <w:bCs/>
                <w:color w:val="C0392B"/>
                <w:sz w:val="20"/>
                <w:szCs w:val="20"/>
              </w:rPr>
              <w:t xml:space="preserve">• </w:t>
            </w:r>
            <w:r>
              <w:rPr>
                <w:rFonts w:ascii="Arial" w:cs="Arial" w:eastAsia="Arial" w:hAnsi="Arial"/>
                <w:color w:val="1A1A2E"/>
                <w:sz w:val="20"/>
                <w:szCs w:val="20"/>
              </w:rPr>
              <w:t xml:space="preserve">Customer_ID is shared across Loans, Applications, Transactions, and Defaults, enabling full customer journey tracking.</w:t>
            </w:r>
          </w:p>
        </w:tc>
      </w:tr>
      <w:tr>
        <w:tc>
          <w:tcPr>
            <w:tcW w:type="dxa" w:w="9360"/>
            <w:tcBorders>
              <w:top w:val="single" w:color="AAAAAA" w:sz="1"/>
              <w:left w:val="single" w:color="AAAAAA" w:sz="1"/>
              <w:bottom w:val="single" w:color="AAAAAA" w:sz="1"/>
              <w:right w:val="single" w:color="AAAAAA" w:sz="1"/>
            </w:tcBorders>
            <w:shd w:fill="FFFFFF" w:val="clear"/>
            <w:tcMar>
              <w:top w:type="dxa" w:w="90"/>
              <w:left w:type="dxa" w:w="150"/>
              <w:bottom w:type="dxa" w:w="90"/>
              <w:right w:type="dxa" w:w="150"/>
            </w:tcMar>
          </w:tcPr>
          <w:p>
            <w:r>
              <w:rPr>
                <w:rFonts w:ascii="Arial" w:cs="Arial" w:eastAsia="Arial" w:hAnsi="Arial"/>
                <w:b/>
                <w:bCs/>
                <w:color w:val="C0392B"/>
                <w:sz w:val="20"/>
                <w:szCs w:val="20"/>
              </w:rPr>
              <w:t xml:space="preserve">• </w:t>
            </w:r>
            <w:r>
              <w:rPr>
                <w:rFonts w:ascii="Arial" w:cs="Arial" w:eastAsia="Arial" w:hAnsi="Arial"/>
                <w:color w:val="1A1A2E"/>
                <w:sz w:val="20"/>
                <w:szCs w:val="20"/>
              </w:rPr>
              <w:t xml:space="preserve">Branches does NOT have a direct foreign key in Loans — the link is made via the Region column present in both tables.</w:t>
            </w:r>
          </w:p>
        </w:tc>
      </w:tr>
      <w:tr>
        <w:tc>
          <w:tcPr>
            <w:tcW w:type="dxa" w:w="9360"/>
            <w:tcBorders>
              <w:top w:val="single" w:color="AAAAAA" w:sz="1"/>
              <w:left w:val="single" w:color="AAAAAA" w:sz="1"/>
              <w:bottom w:val="single" w:color="AAAAAA" w:sz="1"/>
              <w:right w:val="single" w:color="AAAAAA" w:sz="1"/>
            </w:tcBorders>
            <w:shd w:fill="FFFFFF" w:val="clear"/>
            <w:tcMar>
              <w:top w:type="dxa" w:w="90"/>
              <w:left w:type="dxa" w:w="150"/>
              <w:bottom w:type="dxa" w:w="90"/>
              <w:right w:type="dxa" w:w="150"/>
            </w:tcMar>
          </w:tcPr>
          <w:p>
            <w:r>
              <w:rPr>
                <w:rFonts w:ascii="Arial" w:cs="Arial" w:eastAsia="Arial" w:hAnsi="Arial"/>
                <w:b/>
                <w:bCs/>
                <w:color w:val="C0392B"/>
                <w:sz w:val="20"/>
                <w:szCs w:val="20"/>
              </w:rPr>
              <w:t xml:space="preserve">• </w:t>
            </w:r>
            <w:r>
              <w:rPr>
                <w:rFonts w:ascii="Arial" w:cs="Arial" w:eastAsia="Arial" w:hAnsi="Arial"/>
                <w:color w:val="1A1A2E"/>
                <w:sz w:val="20"/>
                <w:szCs w:val="20"/>
              </w:rPr>
              <w:t xml:space="preserve">Applications and Defaults have a 1:1 relationship with Loans — each loan has at most one application and one default record.</w:t>
            </w:r>
          </w:p>
        </w:tc>
      </w:tr>
      <w:tr>
        <w:tc>
          <w:tcPr>
            <w:tcW w:type="dxa" w:w="9360"/>
            <w:tcBorders>
              <w:top w:val="single" w:color="AAAAAA" w:sz="1"/>
              <w:left w:val="single" w:color="AAAAAA" w:sz="1"/>
              <w:bottom w:val="single" w:color="AAAAAA" w:sz="1"/>
              <w:right w:val="single" w:color="AAAAAA" w:sz="1"/>
            </w:tcBorders>
            <w:shd w:fill="FFFFFF" w:val="clear"/>
            <w:tcMar>
              <w:top w:type="dxa" w:w="90"/>
              <w:left w:type="dxa" w:w="150"/>
              <w:bottom w:type="dxa" w:w="90"/>
              <w:right w:type="dxa" w:w="150"/>
            </w:tcMar>
          </w:tcPr>
          <w:p>
            <w:r>
              <w:rPr>
                <w:rFonts w:ascii="Arial" w:cs="Arial" w:eastAsia="Arial" w:hAnsi="Arial"/>
                <w:b/>
                <w:bCs/>
                <w:color w:val="C0392B"/>
                <w:sz w:val="20"/>
                <w:szCs w:val="20"/>
              </w:rPr>
              <w:t xml:space="preserve">• </w:t>
            </w:r>
            <w:r>
              <w:rPr>
                <w:rFonts w:ascii="Arial" w:cs="Arial" w:eastAsia="Arial" w:hAnsi="Arial"/>
                <w:color w:val="1A1A2E"/>
                <w:sz w:val="20"/>
                <w:szCs w:val="20"/>
              </w:rPr>
              <w:t xml:space="preserve">Transactions has a 1:Many relationship with Loans — a single loan can have many EMI and penalty transactions over its lifetime.</w:t>
            </w:r>
          </w:p>
        </w:tc>
      </w:tr>
    </w:tbl>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3.1  High-Level Architecture</w:t>
      </w:r>
    </w:p>
    <w:p>
      <w:pPr>
        <w:spacing w:after="100"/>
      </w:pPr>
      <w:r>
        <w:rPr>
          <w:rFonts w:ascii="Arial" w:cs="Arial" w:eastAsia="Arial" w:hAnsi="Arial"/>
          <w:color w:val="1A1A2E"/>
          <w:sz w:val="20"/>
          <w:szCs w:val="20"/>
        </w:rPr>
        <w:t xml:space="preserve">The project follows a layered architecture pattern with 6 main layers:</w:t>
      </w:r>
    </w:p>
    <w:p>
      <w:pPr>
        <w:spacing w:after="100"/>
      </w:pPr>
      <w:r>
        <w:t xml:space="preserve"/>
      </w:r>
    </w:p>
    <w:p>
      <w:pPr>
        <w:pStyle w:val="ListParagraph"/>
        <w:numPr>
          <w:ilvl w:val="0"/>
          <w:numId w:val="2"/>
        </w:numPr>
        <w:spacing w:after="60"/>
      </w:pPr>
      <w:r>
        <w:rPr>
          <w:rFonts w:ascii="Arial" w:cs="Arial" w:eastAsia="Arial" w:hAnsi="Arial"/>
          <w:color w:val="1A1A2E"/>
          <w:sz w:val="20"/>
          <w:szCs w:val="20"/>
        </w:rPr>
        <w:t xml:space="preserve">1.  Data Layer — Raw, cleaned, and processed data storage</w:t>
      </w:r>
    </w:p>
    <w:p>
      <w:pPr>
        <w:pStyle w:val="ListParagraph"/>
        <w:numPr>
          <w:ilvl w:val="0"/>
          <w:numId w:val="2"/>
        </w:numPr>
        <w:spacing w:after="60"/>
      </w:pPr>
      <w:r>
        <w:rPr>
          <w:rFonts w:ascii="Arial" w:cs="Arial" w:eastAsia="Arial" w:hAnsi="Arial"/>
          <w:color w:val="1A1A2E"/>
          <w:sz w:val="20"/>
          <w:szCs w:val="20"/>
        </w:rPr>
        <w:t xml:space="preserve">2.  Processing Layer — Data loading, cleaning, feature engineering, and merging</w:t>
      </w:r>
    </w:p>
    <w:p>
      <w:pPr>
        <w:pStyle w:val="ListParagraph"/>
        <w:numPr>
          <w:ilvl w:val="0"/>
          <w:numId w:val="2"/>
        </w:numPr>
        <w:spacing w:after="60"/>
      </w:pPr>
      <w:r>
        <w:rPr>
          <w:rFonts w:ascii="Arial" w:cs="Arial" w:eastAsia="Arial" w:hAnsi="Arial"/>
          <w:color w:val="1A1A2E"/>
          <w:sz w:val="20"/>
          <w:szCs w:val="20"/>
        </w:rPr>
        <w:t xml:space="preserve">3.  Analysis Layer — 18 analysis modules covering different analytical dimensions</w:t>
      </w:r>
    </w:p>
    <w:p>
      <w:pPr>
        <w:pStyle w:val="ListParagraph"/>
        <w:numPr>
          <w:ilvl w:val="0"/>
          <w:numId w:val="2"/>
        </w:numPr>
        <w:spacing w:after="60"/>
      </w:pPr>
      <w:r>
        <w:rPr>
          <w:rFonts w:ascii="Arial" w:cs="Arial" w:eastAsia="Arial" w:hAnsi="Arial"/>
          <w:color w:val="1A1A2E"/>
          <w:sz w:val="20"/>
          <w:szCs w:val="20"/>
        </w:rPr>
        <w:t xml:space="preserve">4.  Visualisation Layer — Chart generation and PNG output creation</w:t>
      </w:r>
    </w:p>
    <w:p>
      <w:pPr>
        <w:pStyle w:val="ListParagraph"/>
        <w:numPr>
          <w:ilvl w:val="0"/>
          <w:numId w:val="2"/>
        </w:numPr>
        <w:spacing w:after="60"/>
      </w:pPr>
      <w:r>
        <w:rPr>
          <w:rFonts w:ascii="Arial" w:cs="Arial" w:eastAsia="Arial" w:hAnsi="Arial"/>
          <w:color w:val="1A1A2E"/>
          <w:sz w:val="20"/>
          <w:szCs w:val="20"/>
        </w:rPr>
        <w:t xml:space="preserve">5.  Reporting Layer — Word .docx and PDF report generation</w:t>
      </w:r>
    </w:p>
    <w:p>
      <w:pPr>
        <w:pStyle w:val="ListParagraph"/>
        <w:numPr>
          <w:ilvl w:val="0"/>
          <w:numId w:val="2"/>
        </w:numPr>
        <w:spacing w:after="60"/>
      </w:pPr>
      <w:r>
        <w:rPr>
          <w:rFonts w:ascii="Arial" w:cs="Arial" w:eastAsia="Arial" w:hAnsi="Arial"/>
          <w:color w:val="1A1A2E"/>
          <w:sz w:val="20"/>
          <w:szCs w:val="20"/>
        </w:rPr>
        <w:t xml:space="preserve">6.  Presentation Layer — main.py pipeline orchestration</w:t>
      </w:r>
    </w:p>
    <w:p>
      <w:pPr>
        <w:spacing w:after="100"/>
      </w:pPr>
      <w:r>
        <w:t xml:space="preserve"/>
      </w:r>
    </w:p>
    <w:p>
      <w:pPr>
        <w:spacing w:after="50"/>
        <w:jc w:val="center"/>
      </w:pPr>
      <w:r>
        <w:drawing>
          <wp:inline distT="0" distB="0" distL="0" distR="0">
            <wp:extent cx="5286375" cy="3057525"/>
            <wp:effectExtent t="0" r="0" b="0" l="0"/>
            <wp:docPr id="1" name="Figure 3.1 — High-Level Layered Architecture" descr="Figure 3.1 — High-Level Layered Architecture" title="Figure 3.1 — High-Level Layered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86375" cy="3057525"/>
                    </a:xfrm>
                    <a:prstGeom prst="rect">
                      <a:avLst/>
                    </a:prstGeom>
                  </pic:spPr>
                </pic:pic>
              </a:graphicData>
            </a:graphic>
          </wp:inline>
        </w:drawing>
      </w:r>
    </w:p>
    <w:p>
      <w:pPr>
        <w:spacing w:after="140"/>
        <w:jc w:val="center"/>
      </w:pPr>
      <w:r>
        <w:rPr>
          <w:rFonts w:ascii="Arial" w:cs="Arial" w:eastAsia="Arial" w:hAnsi="Arial"/>
          <w:b/>
          <w:bCs/>
          <w:i/>
          <w:iCs/>
          <w:color w:val="888888"/>
          <w:sz w:val="18"/>
          <w:szCs w:val="18"/>
        </w:rPr>
        <w:t xml:space="preserve">Figure 3.1 — High-Level Layered Architecture</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3.2  Main Pipeline Sequence Diagram</w:t>
      </w:r>
    </w:p>
    <w:p>
      <w:pPr>
        <w:spacing w:after="100"/>
      </w:pPr>
      <w:r>
        <w:rPr>
          <w:rFonts w:ascii="Arial" w:cs="Arial" w:eastAsia="Arial" w:hAnsi="Arial"/>
          <w:color w:val="1A1A2E"/>
          <w:sz w:val="20"/>
          <w:szCs w:val="20"/>
        </w:rPr>
        <w:t xml:space="preserve">The sequence diagram shows how data and control flow through the pipeline from main.py through to the final report:</w:t>
      </w:r>
    </w:p>
    <w:p>
      <w:pPr>
        <w:spacing w:after="100"/>
      </w:pPr>
      <w:r>
        <w:t xml:space="preserve"/>
      </w:r>
    </w:p>
    <w:p>
      <w:pPr>
        <w:spacing w:after="50"/>
        <w:jc w:val="center"/>
      </w:pPr>
      <w:r>
        <w:drawing>
          <wp:inline distT="0" distB="0" distL="0" distR="0">
            <wp:extent cx="5286375" cy="3524250"/>
            <wp:effectExtent t="0" r="0" b="0" l="0"/>
            <wp:docPr id="1" name="Figure 3.2 — Main Pipeline Sequence Diagram" descr="Figure 3.2 — Main Pipeline Sequence Diagram" title="Figure 3.2 — Main Pipeline 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86375" cy="3524250"/>
                    </a:xfrm>
                    <a:prstGeom prst="rect">
                      <a:avLst/>
                    </a:prstGeom>
                  </pic:spPr>
                </pic:pic>
              </a:graphicData>
            </a:graphic>
          </wp:inline>
        </w:drawing>
      </w:r>
    </w:p>
    <w:p>
      <w:pPr>
        <w:spacing w:after="140"/>
        <w:jc w:val="center"/>
      </w:pPr>
      <w:r>
        <w:rPr>
          <w:rFonts w:ascii="Arial" w:cs="Arial" w:eastAsia="Arial" w:hAnsi="Arial"/>
          <w:b/>
          <w:bCs/>
          <w:i/>
          <w:iCs/>
          <w:color w:val="888888"/>
          <w:sz w:val="18"/>
          <w:szCs w:val="18"/>
        </w:rPr>
        <w:t xml:space="preserve">Figure 3.2 — Main Pipeline Sequence Diagram</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3.3  Directory Structure</w:t>
      </w:r>
    </w:p>
    <w:p>
      <w:pPr>
        <w:spacing w:after="50"/>
        <w:jc w:val="center"/>
      </w:pPr>
      <w:r>
        <w:drawing>
          <wp:inline distT="0" distB="0" distL="0" distR="0">
            <wp:extent cx="5286375" cy="3467100"/>
            <wp:effectExtent t="0" r="0" b="0" l="0"/>
            <wp:docPr id="1" name="Figure 3.3 — Project Directory Structure" descr="Figure 3.3 — Project Directory Structure" title="Figure 3.3 — Project Directory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86375" cy="3467100"/>
                    </a:xfrm>
                    <a:prstGeom prst="rect">
                      <a:avLst/>
                    </a:prstGeom>
                  </pic:spPr>
                </pic:pic>
              </a:graphicData>
            </a:graphic>
          </wp:inline>
        </w:drawing>
      </w:r>
    </w:p>
    <w:p>
      <w:pPr>
        <w:spacing w:after="140"/>
        <w:jc w:val="center"/>
      </w:pPr>
      <w:r>
        <w:rPr>
          <w:rFonts w:ascii="Arial" w:cs="Arial" w:eastAsia="Arial" w:hAnsi="Arial"/>
          <w:b/>
          <w:bCs/>
          <w:i/>
          <w:iCs/>
          <w:color w:val="888888"/>
          <w:sz w:val="18"/>
          <w:szCs w:val="18"/>
        </w:rPr>
        <w:t xml:space="preserve">Figure 3.3 — Project Directory Structure</w:t>
      </w:r>
    </w:p>
    <w:p>
      <w:pPr>
        <w:spacing w:after="200"/>
      </w:pPr>
      <w:r>
        <w:t xml:space="preserve"/>
      </w:r>
    </w:p>
    <w:p>
      <w:r>
        <w:br w:type="page"/>
      </w:r>
    </w:p>
    <w:p>
      <w:pPr>
        <w:pStyle w:val="Heading2"/>
        <w:spacing w:after="100" w:before="240"/>
      </w:pPr>
      <w:r>
        <w:rPr>
          <w:rFonts w:ascii="Arial" w:cs="Arial" w:eastAsia="Arial" w:hAnsi="Arial"/>
          <w:b/>
          <w:bCs/>
          <w:color w:val="1A1A2E"/>
          <w:sz w:val="26"/>
          <w:szCs w:val="26"/>
        </w:rPr>
        <w:t xml:space="preserve">3.4  Application Architecture Pattern</w:t>
      </w:r>
    </w:p>
    <w:p>
      <w:pPr>
        <w:spacing w:after="100"/>
      </w:pPr>
      <w:r>
        <w:rPr>
          <w:rFonts w:ascii="Arial" w:cs="Arial" w:eastAsia="Arial" w:hAnsi="Arial"/>
          <w:color w:val="1A1A2E"/>
          <w:sz w:val="20"/>
          <w:szCs w:val="20"/>
        </w:rPr>
        <w:t xml:space="preserve">The project uses a Layered Architecture with clear separation of concerns:</w:t>
      </w:r>
    </w:p>
    <w:p>
      <w:pPr>
        <w:spacing w:after="100"/>
      </w:pPr>
      <w:r>
        <w:t xml:space="preserve"/>
      </w:r>
    </w:p>
    <w:p>
      <w:pPr>
        <w:spacing w:after="50"/>
        <w:jc w:val="center"/>
      </w:pPr>
      <w:r>
        <w:drawing>
          <wp:inline distT="0" distB="0" distL="0" distR="0">
            <wp:extent cx="5286375" cy="2828925"/>
            <wp:effectExtent t="0" r="0" b="0" l="0"/>
            <wp:docPr id="1" name="Figure 3.4 — Application Architecture Pattern" descr="Figure 3.4 — Application Architecture Pattern" title="Figure 3.4 — Application Architecture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86375" cy="2828925"/>
                    </a:xfrm>
                    <a:prstGeom prst="rect">
                      <a:avLst/>
                    </a:prstGeom>
                  </pic:spPr>
                </pic:pic>
              </a:graphicData>
            </a:graphic>
          </wp:inline>
        </w:drawing>
      </w:r>
    </w:p>
    <w:p>
      <w:pPr>
        <w:spacing w:after="140"/>
        <w:jc w:val="center"/>
      </w:pPr>
      <w:r>
        <w:rPr>
          <w:rFonts w:ascii="Arial" w:cs="Arial" w:eastAsia="Arial" w:hAnsi="Arial"/>
          <w:b/>
          <w:bCs/>
          <w:i/>
          <w:iCs/>
          <w:color w:val="888888"/>
          <w:sz w:val="18"/>
          <w:szCs w:val="18"/>
        </w:rPr>
        <w:t xml:space="preserve">Figure 3.4 — Application Architecture Pattern</w:t>
      </w:r>
    </w:p>
    <w:p>
      <w:pPr>
        <w:spacing w:after="100"/>
      </w:pPr>
      <w:r>
        <w:t xml:space="preserve"/>
      </w:r>
    </w:p>
    <w:p>
      <w:pPr>
        <w:pStyle w:val="ListParagraph"/>
        <w:numPr>
          <w:ilvl w:val="0"/>
          <w:numId w:val="2"/>
        </w:numPr>
        <w:spacing w:after="60"/>
      </w:pPr>
      <w:r>
        <w:rPr>
          <w:rFonts w:ascii="Arial" w:cs="Arial" w:eastAsia="Arial" w:hAnsi="Arial"/>
          <w:color w:val="1A1A2E"/>
          <w:sz w:val="20"/>
          <w:szCs w:val="20"/>
        </w:rPr>
        <w:t xml:space="preserve">Presentation Layer:  main.py — pipeline orchestration and single entry point</w:t>
      </w:r>
    </w:p>
    <w:p>
      <w:pPr>
        <w:pStyle w:val="ListParagraph"/>
        <w:numPr>
          <w:ilvl w:val="0"/>
          <w:numId w:val="2"/>
        </w:numPr>
        <w:spacing w:after="60"/>
      </w:pPr>
      <w:r>
        <w:rPr>
          <w:rFonts w:ascii="Arial" w:cs="Arial" w:eastAsia="Arial" w:hAnsi="Arial"/>
          <w:color w:val="1A1A2E"/>
          <w:sz w:val="20"/>
          <w:szCs w:val="20"/>
        </w:rPr>
        <w:t xml:space="preserve">Business Logic Layer:  analyser/ modules — one dedicated module per analytical task</w:t>
      </w:r>
    </w:p>
    <w:p>
      <w:pPr>
        <w:pStyle w:val="ListParagraph"/>
        <w:numPr>
          <w:ilvl w:val="0"/>
          <w:numId w:val="2"/>
        </w:numPr>
        <w:spacing w:after="60"/>
      </w:pPr>
      <w:r>
        <w:rPr>
          <w:rFonts w:ascii="Arial" w:cs="Arial" w:eastAsia="Arial" w:hAnsi="Arial"/>
          <w:color w:val="1A1A2E"/>
          <w:sz w:val="20"/>
          <w:szCs w:val="20"/>
        </w:rPr>
        <w:t xml:space="preserve">Data Access Layer:  dataprocessor/ modules — loading, sanitising, feature engineering, merging</w:t>
      </w:r>
    </w:p>
    <w:p>
      <w:pPr>
        <w:pStyle w:val="ListParagraph"/>
        <w:numPr>
          <w:ilvl w:val="0"/>
          <w:numId w:val="2"/>
        </w:numPr>
        <w:spacing w:after="60"/>
      </w:pPr>
      <w:r>
        <w:rPr>
          <w:rFonts w:ascii="Arial" w:cs="Arial" w:eastAsia="Arial" w:hAnsi="Arial"/>
          <w:color w:val="1A1A2E"/>
          <w:sz w:val="20"/>
          <w:szCs w:val="20"/>
        </w:rPr>
        <w:t xml:space="preserve">Data Layer:  6 raw CSV files and sanitised data/cleaned/ output</w:t>
      </w:r>
    </w:p>
    <w:p>
      <w:pPr>
        <w:spacing w:after="200"/>
      </w:pPr>
      <w:r>
        <w:t xml:space="preserve"/>
      </w:r>
    </w:p>
    <w:p>
      <w:pPr>
        <w:spacing w:before="400"/>
        <w:jc w:val="center"/>
      </w:pPr>
      <w:r>
        <w:rPr>
          <w:rFonts w:ascii="Arial" w:cs="Arial" w:eastAsia="Arial" w:hAnsi="Arial"/>
          <w:i/>
          <w:iCs/>
          <w:color w:val="888888"/>
          <w:sz w:val="20"/>
          <w:szCs w:val="20"/>
        </w:rPr>
        <w:t xml:space="preserve">— End of Report —</w:t>
      </w:r>
    </w:p>
    <w:sectPr>
      <w:headerReference w:type="default" r:id="rId7"/>
      <w:footerReference w:type="default" r:id="rId8"/>
      <w:pgSz w:w="12240" w:h="15840" w:orient="portrait"/>
      <w:pgMar w:top="1260" w:right="1080" w:bottom="126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DCDC" w:sz="4" w:space="4"/>
      </w:pBdr>
      <w:jc w:val="right"/>
    </w:pPr>
    <w:r>
      <w:rPr>
        <w:rFonts w:ascii="Arial" w:cs="Arial" w:eastAsia="Arial" w:hAnsi="Arial"/>
        <w:color w:val="888888"/>
        <w:sz w:val="17"/>
        <w:szCs w:val="17"/>
      </w:rPr>
      <w:t xml:space="preserve">Page </w:t>
    </w:r>
    <w:r>
      <w:rPr>
        <w:rFonts w:ascii="Arial" w:cs="Arial" w:eastAsia="Arial" w:hAnsi="Arial"/>
        <w:color w:val="888888"/>
        <w:sz w:val="17"/>
        <w:szCs w:val="17"/>
      </w:rPr>
      <w:fldChar w:fldCharType="begin"/>
      <w:instrText xml:space="preserve">PAGE</w:instrText>
      <w:fldChar w:fldCharType="separate"/>
      <w:fldChar w:fldCharType="end"/>
    </w:r>
    <w:r>
      <w:rPr>
        <w:rFonts w:ascii="Arial" w:cs="Arial" w:eastAsia="Arial" w:hAnsi="Arial"/>
        <w:color w:val="888888"/>
        <w:sz w:val="17"/>
        <w:szCs w:val="17"/>
      </w:rPr>
      <w:t xml:space="preserve"> / </w:t>
    </w:r>
    <w:r>
      <w:rPr>
        <w:rFonts w:ascii="Arial" w:cs="Arial" w:eastAsia="Arial" w:hAnsi="Arial"/>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392B" w:sz="6" w:space="6"/>
      </w:pBdr>
    </w:pPr>
    <w:r>
      <w:rPr>
        <w:rFonts w:ascii="Arial" w:cs="Arial" w:eastAsia="Arial" w:hAnsi="Arial"/>
        <w:b/>
        <w:bCs/>
        <w:color w:val="1A1A2E"/>
        <w:sz w:val="19"/>
        <w:szCs w:val="19"/>
      </w:rPr>
      <w:t xml:space="preserve">Hero FinCorp  |  Comprehensive Data Analysis Report</w:t>
    </w:r>
    <w:r>
      <w:rPr>
        <w:rFonts w:ascii="Arial" w:cs="Arial" w:eastAsia="Arial" w:hAnsi="Arial"/>
        <w:color w:val="888888"/>
        <w:sz w:val="18"/>
        <w:szCs w:val="18"/>
      </w:rPr>
      <w:t xml:space="preserve">   |   Mani Dixit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1A2E"/>
      <w:sz w:val="34"/>
      <w:szCs w:val="34"/>
    </w:rPr>
  </w:style>
  <w:style w:type="paragraph" w:styleId="Heading2">
    <w:name w:val="Heading 2"/>
    <w:basedOn w:val="Normal"/>
    <w:next w:val="Normal"/>
    <w:qFormat/>
    <w:pPr>
      <w:spacing w:after="100" w:before="240"/>
      <w:outlineLvl w:val="1"/>
    </w:pPr>
    <w:rPr>
      <w:rFonts w:ascii="Arial" w:cs="Arial" w:eastAsia="Arial" w:hAnsi="Arial"/>
      <w:b/>
      <w:bCs/>
      <w:color w:val="1A1A2E"/>
      <w:sz w:val="26"/>
      <w:szCs w:val="26"/>
    </w:rPr>
  </w:style>
  <w:style w:type="paragraph" w:styleId="Heading3">
    <w:name w:val="Heading 3"/>
    <w:basedOn w:val="Normal"/>
    <w:next w:val="Normal"/>
    <w:qFormat/>
    <w:pPr>
      <w:spacing w:after="60" w:before="160"/>
      <w:outlineLvl w:val="2"/>
    </w:pPr>
    <w:rPr>
      <w:rFonts w:ascii="Arial" w:cs="Arial" w:eastAsia="Arial" w:hAnsi="Arial"/>
      <w:b/>
      <w:bCs/>
      <w:color w:val="2E86A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nqgo9fd7q7wdkeazm4e6" Type="http://schemas.openxmlformats.org/officeDocument/2006/relationships/hyperlink" Target="https://github.com/manidixit16/Assignment-hero-fincorp-analysis.git" TargetMode="External"/><Relationship Id="rIdurbdgolkfkq9fadg5e2l1" Type="http://schemas.openxmlformats.org/officeDocument/2006/relationships/hyperlink" Target="https://github.com/manidixit16/Assignment-hero-fincorp-analysis/tree/main/reports/figures" TargetMode="External"/><Relationship Id="rId9" Type="http://schemas.openxmlformats.org/officeDocument/2006/relationships/image" Target="media/96302a3250bd8039bb80988313250d7c61d40cf1.png"/><Relationship Id="rId10" Type="http://schemas.openxmlformats.org/officeDocument/2006/relationships/image" Target="media/1b049706cb438d21e2836208e1fe4d2c18e3f1a5.png"/><Relationship Id="rId11" Type="http://schemas.openxmlformats.org/officeDocument/2006/relationships/image" Target="media/d42393d96106b4702d5f8b8f69007f3b1390e907.png"/><Relationship Id="rId12" Type="http://schemas.openxmlformats.org/officeDocument/2006/relationships/image" Target="media/3a17958353e14f875baaa67a0a3403dbc219b7f1.png"/><Relationship Id="rId13" Type="http://schemas.openxmlformats.org/officeDocument/2006/relationships/image" Target="media/9b9504ce3639e8fbf0c8452d72583e222890cf7d.png"/><Relationship Id="rId14" Type="http://schemas.openxmlformats.org/officeDocument/2006/relationships/image" Target="media/3e5ae80b262538b43d0f9125198bda6b8c60042b.png"/><Relationship Id="rId15" Type="http://schemas.openxmlformats.org/officeDocument/2006/relationships/image" Target="media/b60537b280b4f439799902bd714dd6eace5917db.png"/><Relationship Id="rId16" Type="http://schemas.openxmlformats.org/officeDocument/2006/relationships/image" Target="media/ee1a63a523a169e9b5723a85fe3bca73ed292279.png"/><Relationship Id="rId17" Type="http://schemas.openxmlformats.org/officeDocument/2006/relationships/image" Target="media/490832510ffad8c8ee5768283e5717b4d4dbc453.png"/><Relationship Id="rId18" Type="http://schemas.openxmlformats.org/officeDocument/2006/relationships/image" Target="media/85b54bc5881bb367b5242eae7698e93bf562fe77.png"/><Relationship Id="rId19" Type="http://schemas.openxmlformats.org/officeDocument/2006/relationships/image" Target="media/a316eb0a943427c4321c9a070aa6d57c494e1780.png"/><Relationship Id="rId20" Type="http://schemas.openxmlformats.org/officeDocument/2006/relationships/image" Target="media/1806a01f839e38ebac1d46c545b4b5abbee3ff0d.png"/><Relationship Id="rId21" Type="http://schemas.openxmlformats.org/officeDocument/2006/relationships/image" Target="media/4c5dac8e3e3d75ce59976f0b261b8e95c9a4eae4.png"/><Relationship Id="rId22" Type="http://schemas.openxmlformats.org/officeDocument/2006/relationships/image" Target="media/8547d9edc7c74922b85a9113d041eb45eb69a0b8.png"/><Relationship Id="rId23" Type="http://schemas.openxmlformats.org/officeDocument/2006/relationships/image" Target="media/576b27ec79f12139a4d8cad9b2e68dc86b6cae41.png"/><Relationship Id="rId24" Type="http://schemas.openxmlformats.org/officeDocument/2006/relationships/image" Target="media/d5d4b7791e2bb53347732b667e214fa34ae66555.png"/><Relationship Id="rId25" Type="http://schemas.openxmlformats.org/officeDocument/2006/relationships/image" Target="media/ec205750089a23f7625c40b70a085ef4ddf9e409.png"/><Relationship Id="rId26" Type="http://schemas.openxmlformats.org/officeDocument/2006/relationships/image" Target="media/4fdf5daf1f1897aeb3997946ec07d98c7d8c38e3.png"/><Relationship Id="rId27" Type="http://schemas.openxmlformats.org/officeDocument/2006/relationships/image" Target="media/7e374988e44cf25f576bed9dd40dd5680f32b196.png"/><Relationship Id="rId28" Type="http://schemas.openxmlformats.org/officeDocument/2006/relationships/image" Target="media/b29aaa48ea9c1c62e1f4fb6b4fe87e7e795de2fe.png"/><Relationship Id="rId29" Type="http://schemas.openxmlformats.org/officeDocument/2006/relationships/image" Target="media/d5f9e13758e31cb20917913b67e8ebaa3e7108da.png"/><Relationship Id="rId30" Type="http://schemas.openxmlformats.org/officeDocument/2006/relationships/image" Target="media/0c30f2ab8f6541a227704a7cdcb739b6fccb0ca3.png"/><Relationship Id="rId31" Type="http://schemas.openxmlformats.org/officeDocument/2006/relationships/image" Target="media/4b96de665a7c25d318d0df21531d877aabd31cc9.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2026-04-19T03:58:01.270Z</dcterms:created>
  <dcterms:modified xsi:type="dcterms:W3CDTF">2026-04-19T03:58:01.270Z</dcterms:modified>
</cp:coreProperties>
</file>

<file path=docProps/custom.xml><?xml version="1.0" encoding="utf-8"?>
<Properties xmlns="http://schemas.openxmlformats.org/officeDocument/2006/custom-properties" xmlns:vt="http://schemas.openxmlformats.org/officeDocument/2006/docPropsVTypes"/>
</file>