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1E9420" w14:textId="64ADFCF6" w:rsidR="00305904" w:rsidRDefault="009440C7" w:rsidP="00785498">
      <w:pPr>
        <w:pStyle w:val="NormalWeb"/>
        <w:shd w:val="clear" w:color="auto" w:fill="FFFFFF"/>
        <w:spacing w:before="0" w:beforeAutospacing="0" w:after="0" w:afterAutospacing="0"/>
        <w:rPr>
          <w:rFonts w:ascii="Aptos Light" w:hAnsi="Aptos Light" w:cs="Arial"/>
          <w:color w:val="0A0A0A"/>
          <w:sz w:val="21"/>
          <w:szCs w:val="21"/>
        </w:rPr>
      </w:pPr>
      <w:r w:rsidRPr="00785498">
        <w:rPr>
          <w:rFonts w:ascii="Aptos Light" w:hAnsi="Aptos Light" w:cs="Arial"/>
          <w:color w:val="0A0A0A"/>
          <w:sz w:val="21"/>
          <w:szCs w:val="21"/>
        </w:rPr>
        <w:t>Reviewer 1</w:t>
      </w:r>
    </w:p>
    <w:p w14:paraId="01CE51E5" w14:textId="77777777" w:rsidR="00785498" w:rsidRPr="00785498" w:rsidRDefault="00785498" w:rsidP="00785498">
      <w:pPr>
        <w:pStyle w:val="NormalWeb"/>
        <w:shd w:val="clear" w:color="auto" w:fill="FFFFFF"/>
        <w:spacing w:before="0" w:beforeAutospacing="0" w:after="0" w:afterAutospacing="0"/>
        <w:rPr>
          <w:rFonts w:ascii="Aptos Light" w:hAnsi="Aptos Light" w:cs="Arial"/>
          <w:color w:val="0A0A0A"/>
          <w:sz w:val="21"/>
          <w:szCs w:val="21"/>
        </w:rPr>
      </w:pPr>
    </w:p>
    <w:p w14:paraId="572D0EB5" w14:textId="62BF6C63" w:rsidR="00785498" w:rsidRPr="00785498" w:rsidRDefault="00785498" w:rsidP="00785498">
      <w:pPr>
        <w:pStyle w:val="NormalWeb"/>
        <w:shd w:val="clear" w:color="auto" w:fill="FFFFFF"/>
        <w:spacing w:before="0" w:beforeAutospacing="0" w:after="0" w:afterAutospacing="0"/>
        <w:rPr>
          <w:rFonts w:ascii="Aptos Light" w:hAnsi="Aptos Light" w:cs="Arial"/>
          <w:color w:val="0A0A0A"/>
          <w:sz w:val="21"/>
          <w:szCs w:val="21"/>
        </w:rPr>
      </w:pPr>
      <w:r w:rsidRPr="00785498">
        <w:rPr>
          <w:rFonts w:ascii="Aptos Light" w:hAnsi="Aptos Light" w:cs="Arial"/>
          <w:color w:val="0A0A0A"/>
          <w:sz w:val="21"/>
          <w:szCs w:val="21"/>
        </w:rPr>
        <w:t>We thank the reviewer for their careful reading and helpful comments. We have revised the manuscript as follows.</w:t>
      </w:r>
    </w:p>
    <w:p w14:paraId="3C3433BB" w14:textId="77777777" w:rsidR="009440C7" w:rsidRPr="00FD2AC7" w:rsidRDefault="009440C7" w:rsidP="009440C7">
      <w:pPr>
        <w:pStyle w:val="NormalWeb"/>
        <w:shd w:val="clear" w:color="auto" w:fill="FFFFFF"/>
        <w:rPr>
          <w:rFonts w:ascii="Aptos Light" w:hAnsi="Aptos Light" w:cs="Arial"/>
          <w:color w:val="0A0A0A"/>
          <w:sz w:val="21"/>
          <w:szCs w:val="21"/>
        </w:rPr>
      </w:pPr>
      <w:r w:rsidRPr="00785498">
        <w:rPr>
          <w:rFonts w:ascii="Aptos Light" w:hAnsi="Aptos Light" w:cs="Arial"/>
          <w:color w:val="0A0A0A"/>
          <w:sz w:val="21"/>
          <w:szCs w:val="21"/>
        </w:rPr>
        <w:t>(1) I am not fully convinced by the novelty claim. The paper presents the main advantage as the ability to impose global structural constraints, but it also acknowledges that many segment-level constraints, such as minimum length, slope bounds, and admissible breakpoint positions, are already easy to handle in</w:t>
      </w:r>
      <w:r w:rsidRPr="00FD2AC7">
        <w:rPr>
          <w:rFonts w:ascii="Aptos Light" w:hAnsi="Aptos Light" w:cs="Arial"/>
          <w:color w:val="0A0A0A"/>
          <w:sz w:val="21"/>
          <w:szCs w:val="21"/>
        </w:rPr>
        <w:t xml:space="preserve"> dynamic programming. The real novelty is therefore narrower than the paper sometimes suggests, and that distinction should be made more honestly.</w:t>
      </w:r>
    </w:p>
    <w:p w14:paraId="195BD2B9" w14:textId="209744C3" w:rsidR="00FD2AC7" w:rsidRPr="00FD2AC7" w:rsidRDefault="00FD2AC7" w:rsidP="00FD2AC7">
      <w:pPr>
        <w:pStyle w:val="NormalWeb"/>
        <w:shd w:val="clear" w:color="auto" w:fill="FFFFFF"/>
        <w:spacing w:before="0" w:beforeAutospacing="0" w:after="0" w:afterAutospacing="0"/>
        <w:rPr>
          <w:rFonts w:ascii="Aptos Light" w:hAnsi="Aptos Light" w:cs="Arial"/>
          <w:color w:val="0A0A0A"/>
          <w:sz w:val="21"/>
          <w:szCs w:val="21"/>
        </w:rPr>
      </w:pPr>
      <w:r w:rsidRPr="00FD2AC7">
        <w:rPr>
          <w:rFonts w:ascii="Aptos Light" w:hAnsi="Aptos Light" w:cs="Arial"/>
          <w:color w:val="0A0A0A"/>
          <w:sz w:val="21"/>
          <w:szCs w:val="21"/>
        </w:rPr>
        <w:t>While some constrained variants of the CPD problem may appear straightforward to formulate, this does not necessarily imply that they have been systematically explored or analyzed. To the best of our knowledge, most contributions in the algorithmic literature consider only relatively simple constraints, typically limited to cardinality constraints on the number of segments, as commonly incorporated in dynamic programming approaches.</w:t>
      </w:r>
    </w:p>
    <w:p w14:paraId="5A00293F" w14:textId="432FA006" w:rsidR="00FD2AC7" w:rsidRPr="00FD2AC7" w:rsidRDefault="00FD2AC7" w:rsidP="00FD2AC7">
      <w:pPr>
        <w:pStyle w:val="NormalWeb"/>
        <w:shd w:val="clear" w:color="auto" w:fill="FFFFFF"/>
        <w:spacing w:before="0" w:beforeAutospacing="0" w:after="0" w:afterAutospacing="0"/>
        <w:rPr>
          <w:rFonts w:ascii="Aptos Light" w:hAnsi="Aptos Light" w:cs="Arial"/>
          <w:color w:val="0A0A0A"/>
          <w:sz w:val="21"/>
          <w:szCs w:val="21"/>
        </w:rPr>
      </w:pPr>
      <w:r w:rsidRPr="00FD2AC7">
        <w:rPr>
          <w:rFonts w:ascii="Aptos Light" w:hAnsi="Aptos Light" w:cs="Arial"/>
          <w:color w:val="0A0A0A"/>
          <w:sz w:val="21"/>
          <w:szCs w:val="21"/>
        </w:rPr>
        <w:t>We agree that</w:t>
      </w:r>
      <w:r>
        <w:rPr>
          <w:rFonts w:ascii="Aptos Light" w:hAnsi="Aptos Light" w:cs="Arial"/>
          <w:color w:val="0A0A0A"/>
          <w:sz w:val="21"/>
          <w:szCs w:val="21"/>
        </w:rPr>
        <w:t xml:space="preserve"> including in our text</w:t>
      </w:r>
      <w:r w:rsidRPr="00FD2AC7">
        <w:rPr>
          <w:rFonts w:ascii="Aptos Light" w:hAnsi="Aptos Light" w:cs="Arial"/>
          <w:color w:val="0A0A0A"/>
          <w:sz w:val="21"/>
          <w:szCs w:val="21"/>
        </w:rPr>
        <w:t xml:space="preserve"> </w:t>
      </w:r>
      <w:r>
        <w:rPr>
          <w:rFonts w:ascii="Aptos Light" w:hAnsi="Aptos Light" w:cs="Arial"/>
          <w:color w:val="0A0A0A"/>
          <w:sz w:val="21"/>
          <w:szCs w:val="21"/>
        </w:rPr>
        <w:t>a description of</w:t>
      </w:r>
      <w:r w:rsidRPr="00FD2AC7">
        <w:rPr>
          <w:rFonts w:ascii="Aptos Light" w:hAnsi="Aptos Light" w:cs="Arial"/>
          <w:color w:val="0A0A0A"/>
          <w:sz w:val="21"/>
          <w:szCs w:val="21"/>
        </w:rPr>
        <w:t xml:space="preserve"> something that is intuitive or easy to state is not, by itself, a compelling contribution. For this reason, we have clarified throughout the paper that constraints in CPD can be broadly classified into segment-level and global constraints—a distinction that we introduce in this work—and we explicitly emphasize in several parts of the manuscript that the strength of the proposed formulation lies in its ability to handle global constraints. These constraints involve dependencies across segments and are difficult to accommodate within existing frameworks.</w:t>
      </w:r>
    </w:p>
    <w:p w14:paraId="76371DFD" w14:textId="533B2F6D" w:rsidR="004857D3" w:rsidRPr="00FD2AC7" w:rsidRDefault="00FD2AC7" w:rsidP="00FD2AC7">
      <w:pPr>
        <w:pStyle w:val="NormalWeb"/>
        <w:shd w:val="clear" w:color="auto" w:fill="FFFFFF"/>
        <w:spacing w:before="0" w:beforeAutospacing="0" w:after="0" w:afterAutospacing="0"/>
        <w:rPr>
          <w:rFonts w:ascii="Aptos Light" w:hAnsi="Aptos Light" w:cs="Arial"/>
          <w:color w:val="0A0A0A"/>
          <w:sz w:val="21"/>
          <w:szCs w:val="21"/>
        </w:rPr>
      </w:pPr>
      <w:r w:rsidRPr="00FD2AC7">
        <w:rPr>
          <w:rFonts w:ascii="Aptos Light" w:hAnsi="Aptos Light" w:cs="Arial"/>
          <w:color w:val="0A0A0A"/>
          <w:sz w:val="21"/>
          <w:szCs w:val="21"/>
        </w:rPr>
        <w:t>To make this point clearer, we have reinforced this message in multiple sections of the paper, including the abstract, the introduction, the dedicated subsection on constraints, and the conclusions.</w:t>
      </w:r>
    </w:p>
    <w:p w14:paraId="39B15265" w14:textId="521F7397" w:rsidR="009440C7" w:rsidRDefault="009440C7" w:rsidP="009440C7">
      <w:pPr>
        <w:pStyle w:val="NormalWeb"/>
        <w:shd w:val="clear" w:color="auto" w:fill="FFFFFF"/>
        <w:rPr>
          <w:rFonts w:ascii="Aptos Light" w:hAnsi="Aptos Light" w:cs="Arial"/>
          <w:color w:val="0A0A0A"/>
          <w:sz w:val="21"/>
          <w:szCs w:val="21"/>
        </w:rPr>
      </w:pPr>
      <w:r w:rsidRPr="00FD2AC7">
        <w:rPr>
          <w:rFonts w:ascii="Aptos Light" w:hAnsi="Aptos Light" w:cs="Arial"/>
          <w:color w:val="0A0A0A"/>
          <w:sz w:val="21"/>
          <w:szCs w:val="21"/>
        </w:rPr>
        <w:t>(2) The scalability issue still feels underplayed. The paper itself notes that pre-enumerating feasible runs can make the set partitioning model computationally demanding, and that performance deteriorates on longer series. It then points to column generation, branch-and-price, and additional heuristics as future work. That makes the current method look more like a promising proof of concept than a fully scalable alternative.</w:t>
      </w:r>
    </w:p>
    <w:p w14:paraId="1F9BEE4D" w14:textId="62DFF7C2" w:rsidR="0049711E" w:rsidRPr="0049711E" w:rsidRDefault="0049711E" w:rsidP="0049711E">
      <w:pPr>
        <w:pStyle w:val="NormalWeb"/>
        <w:shd w:val="clear" w:color="auto" w:fill="FFFFFF"/>
        <w:spacing w:before="0" w:beforeAutospacing="0" w:after="0" w:afterAutospacing="0"/>
        <w:rPr>
          <w:rFonts w:ascii="Aptos Light" w:hAnsi="Aptos Light" w:cs="Arial"/>
          <w:color w:val="0A0A0A"/>
          <w:sz w:val="21"/>
          <w:szCs w:val="21"/>
        </w:rPr>
      </w:pPr>
      <w:r w:rsidRPr="0049711E">
        <w:rPr>
          <w:rFonts w:ascii="Aptos Light" w:hAnsi="Aptos Light" w:cs="Arial"/>
          <w:color w:val="0A0A0A"/>
          <w:sz w:val="21"/>
          <w:szCs w:val="21"/>
        </w:rPr>
        <w:t>We have extended the paper by adding a new subsection on cutting-plane insertion to better address this point. While the pre-enumeration of feasible runs does not appear to be a computational bottleneck in practice—even for the longer series considered—the main source of computational difficulty arises from the potentially large number of constraints, which may grow quadratically in the size of the series.</w:t>
      </w:r>
    </w:p>
    <w:p w14:paraId="11D2A9C6" w14:textId="4530B45A" w:rsidR="0049711E" w:rsidRPr="0049711E" w:rsidRDefault="0049711E" w:rsidP="0049711E">
      <w:pPr>
        <w:pStyle w:val="NormalWeb"/>
        <w:shd w:val="clear" w:color="auto" w:fill="FFFFFF"/>
        <w:spacing w:before="0" w:beforeAutospacing="0" w:after="0" w:afterAutospacing="0"/>
        <w:rPr>
          <w:rFonts w:ascii="Aptos Light" w:hAnsi="Aptos Light" w:cs="Arial"/>
          <w:color w:val="0A0A0A"/>
          <w:sz w:val="21"/>
          <w:szCs w:val="21"/>
        </w:rPr>
      </w:pPr>
      <w:r w:rsidRPr="0049711E">
        <w:rPr>
          <w:rFonts w:ascii="Aptos Light" w:hAnsi="Aptos Light" w:cs="Arial"/>
          <w:color w:val="0A0A0A"/>
          <w:sz w:val="21"/>
          <w:szCs w:val="21"/>
        </w:rPr>
        <w:t>The new results highlight that the NP-hardness of the formulation, combined with the well-known “no free lunch” principle, can indeed lead to instances requiring substantial computational effort, even for moderately sized series. In this sense, we agree that scalability is an important aspect of the approach.</w:t>
      </w:r>
    </w:p>
    <w:p w14:paraId="1BA2424C" w14:textId="3A4316B1" w:rsidR="0049711E" w:rsidRDefault="0049711E" w:rsidP="0049711E">
      <w:pPr>
        <w:pStyle w:val="NormalWeb"/>
        <w:shd w:val="clear" w:color="auto" w:fill="FFFFFF"/>
        <w:spacing w:before="0" w:beforeAutospacing="0" w:after="0" w:afterAutospacing="0"/>
        <w:rPr>
          <w:rFonts w:ascii="Aptos Light" w:hAnsi="Aptos Light" w:cs="Arial"/>
          <w:color w:val="0A0A0A"/>
          <w:sz w:val="21"/>
          <w:szCs w:val="21"/>
        </w:rPr>
      </w:pPr>
      <w:r w:rsidRPr="0049711E">
        <w:rPr>
          <w:rFonts w:ascii="Aptos Light" w:hAnsi="Aptos Light" w:cs="Arial"/>
          <w:color w:val="0A0A0A"/>
          <w:sz w:val="21"/>
          <w:szCs w:val="21"/>
        </w:rPr>
        <w:t xml:space="preserve">At the same time, we believe that the additional experiments provide a clearer picture of both the potential and the limitations of the method, showing that it remains practically viable on a meaningful range of instances, </w:t>
      </w:r>
      <w:r w:rsidR="00AD1874" w:rsidRPr="00AD1874">
        <w:rPr>
          <w:rFonts w:ascii="Aptos Light" w:hAnsi="Aptos Light" w:cs="Arial"/>
          <w:color w:val="0A0A0A"/>
          <w:sz w:val="21"/>
          <w:szCs w:val="21"/>
        </w:rPr>
        <w:t>while also reinforcing the main advantage of the approach, namely its ability to handle classes of constrained instances that are difficult to address with existing methods</w:t>
      </w:r>
      <w:r w:rsidRPr="0049711E">
        <w:rPr>
          <w:rFonts w:ascii="Aptos Light" w:hAnsi="Aptos Light" w:cs="Arial"/>
          <w:color w:val="0A0A0A"/>
          <w:sz w:val="21"/>
          <w:szCs w:val="21"/>
        </w:rPr>
        <w:t>.</w:t>
      </w:r>
    </w:p>
    <w:p w14:paraId="4F12C5CC" w14:textId="77777777" w:rsidR="00CD63F4" w:rsidRPr="00FD2AC7" w:rsidRDefault="00CD63F4" w:rsidP="0049711E">
      <w:pPr>
        <w:pStyle w:val="NormalWeb"/>
        <w:shd w:val="clear" w:color="auto" w:fill="FFFFFF"/>
        <w:spacing w:before="0" w:beforeAutospacing="0" w:after="0" w:afterAutospacing="0"/>
        <w:rPr>
          <w:rFonts w:ascii="Aptos Light" w:hAnsi="Aptos Light" w:cs="Arial"/>
          <w:color w:val="0A0A0A"/>
          <w:sz w:val="21"/>
          <w:szCs w:val="21"/>
        </w:rPr>
      </w:pPr>
    </w:p>
    <w:p w14:paraId="62B2AEC7" w14:textId="330ACA44" w:rsidR="009440C7" w:rsidRDefault="009440C7" w:rsidP="009440C7">
      <w:pPr>
        <w:pStyle w:val="NormalWeb"/>
        <w:shd w:val="clear" w:color="auto" w:fill="FFFFFF"/>
        <w:rPr>
          <w:rFonts w:ascii="Aptos Light" w:hAnsi="Aptos Light" w:cs="Arial"/>
          <w:color w:val="0A0A0A"/>
          <w:sz w:val="21"/>
          <w:szCs w:val="21"/>
        </w:rPr>
      </w:pPr>
      <w:r w:rsidRPr="00FD2AC7">
        <w:rPr>
          <w:rFonts w:ascii="Aptos Light" w:hAnsi="Aptos Light" w:cs="Arial"/>
          <w:color w:val="0A0A0A"/>
          <w:sz w:val="21"/>
          <w:szCs w:val="21"/>
        </w:rPr>
        <w:t>(3) I also found the empirical comparison less convincing than the paper implies. The benchmark methods were calibrated so that the number of segments would be broadly comparable to the proposed framework, and in one comparison TSSP was forced to use exactly the same number of segments as Dynp, after which only runtimes were reported. That does not really support a strong claim of better segmentation quality. </w:t>
      </w:r>
    </w:p>
    <w:p w14:paraId="665E2508" w14:textId="5C4BF0B6" w:rsidR="00B554B4" w:rsidRPr="00B554B4" w:rsidRDefault="00B554B4" w:rsidP="00900C96">
      <w:pPr>
        <w:pStyle w:val="NormalWeb"/>
        <w:shd w:val="clear" w:color="auto" w:fill="FFFFFF"/>
        <w:spacing w:before="0" w:beforeAutospacing="0" w:after="0" w:afterAutospacing="0"/>
        <w:rPr>
          <w:rFonts w:ascii="Aptos Light" w:hAnsi="Aptos Light" w:cs="Arial"/>
          <w:color w:val="0A0A0A"/>
          <w:sz w:val="21"/>
          <w:szCs w:val="21"/>
        </w:rPr>
      </w:pPr>
      <w:r w:rsidRPr="00B554B4">
        <w:rPr>
          <w:rFonts w:ascii="Aptos Light" w:hAnsi="Aptos Light" w:cs="Arial"/>
          <w:color w:val="0A0A0A"/>
          <w:sz w:val="21"/>
          <w:szCs w:val="21"/>
        </w:rPr>
        <w:lastRenderedPageBreak/>
        <w:t>When comparing TSSP against Dynp, we are in fact comparing exact methods. Under identical constraints, as in the experiment considered, the two approaches produce the same optimal solution. For this reason, the comparison is not intended to demonstrate differences in segmentation quality.</w:t>
      </w:r>
    </w:p>
    <w:p w14:paraId="0638A129" w14:textId="41E3B495" w:rsidR="00B554B4" w:rsidRPr="00B554B4" w:rsidRDefault="00B554B4" w:rsidP="00900C96">
      <w:pPr>
        <w:pStyle w:val="NormalWeb"/>
        <w:shd w:val="clear" w:color="auto" w:fill="FFFFFF"/>
        <w:spacing w:before="0" w:beforeAutospacing="0" w:after="0" w:afterAutospacing="0"/>
        <w:rPr>
          <w:rFonts w:ascii="Aptos Light" w:hAnsi="Aptos Light" w:cs="Arial"/>
          <w:color w:val="0A0A0A"/>
          <w:sz w:val="21"/>
          <w:szCs w:val="21"/>
        </w:rPr>
      </w:pPr>
      <w:r w:rsidRPr="00B554B4">
        <w:rPr>
          <w:rFonts w:ascii="Aptos Light" w:hAnsi="Aptos Light" w:cs="Arial"/>
          <w:color w:val="0A0A0A"/>
          <w:sz w:val="21"/>
          <w:szCs w:val="21"/>
        </w:rPr>
        <w:t xml:space="preserve">Rather, the purpose of this experiment is to assess the computational performance of the proposed method relative to established dynamic programming approaches </w:t>
      </w:r>
      <w:r w:rsidR="00900C96">
        <w:rPr>
          <w:rFonts w:ascii="Aptos Light" w:hAnsi="Aptos Light" w:cs="Arial"/>
          <w:color w:val="0A0A0A"/>
          <w:sz w:val="21"/>
          <w:szCs w:val="21"/>
        </w:rPr>
        <w:t>in experimental conditions</w:t>
      </w:r>
      <w:r w:rsidRPr="00B554B4">
        <w:rPr>
          <w:rFonts w:ascii="Aptos Light" w:hAnsi="Aptos Light" w:cs="Arial"/>
          <w:color w:val="0A0A0A"/>
          <w:sz w:val="21"/>
          <w:szCs w:val="21"/>
        </w:rPr>
        <w:t xml:space="preserve"> where both formulations are applicable. In particular, it shows that, despite its non-polynomial nature, TSSP does not incur a prohibitive computational penalty on instances of practical interest.</w:t>
      </w:r>
    </w:p>
    <w:p w14:paraId="3FFE626D" w14:textId="458B4ABB" w:rsidR="00B554B4" w:rsidRPr="00FD2AC7" w:rsidRDefault="00B554B4" w:rsidP="00900C96">
      <w:pPr>
        <w:pStyle w:val="NormalWeb"/>
        <w:shd w:val="clear" w:color="auto" w:fill="FFFFFF"/>
        <w:spacing w:before="0" w:beforeAutospacing="0" w:after="0" w:afterAutospacing="0"/>
        <w:rPr>
          <w:rFonts w:ascii="Aptos Light" w:hAnsi="Aptos Light" w:cs="Arial"/>
          <w:color w:val="0A0A0A"/>
          <w:sz w:val="21"/>
          <w:szCs w:val="21"/>
        </w:rPr>
      </w:pPr>
      <w:r w:rsidRPr="00B554B4">
        <w:rPr>
          <w:rFonts w:ascii="Aptos Light" w:hAnsi="Aptos Light" w:cs="Arial"/>
          <w:color w:val="0A0A0A"/>
          <w:sz w:val="21"/>
          <w:szCs w:val="21"/>
        </w:rPr>
        <w:t>In this context, the value of the proposed approach lies not in improving solution quality for standard settings, but in extending the range of instances that can be addressed—especially those involving complex constraints that are not easily handled by dynamic programming methods. We have clarified this point in the revised manuscript by adding a paragraph in the section comparing with DP methods.</w:t>
      </w:r>
    </w:p>
    <w:p w14:paraId="7BE7EA12" w14:textId="5A46A420" w:rsidR="009440C7" w:rsidRDefault="009440C7" w:rsidP="009440C7">
      <w:pPr>
        <w:pStyle w:val="NormalWeb"/>
        <w:shd w:val="clear" w:color="auto" w:fill="FFFFFF"/>
        <w:rPr>
          <w:rFonts w:ascii="Aptos Light" w:hAnsi="Aptos Light" w:cs="Arial"/>
          <w:color w:val="0A0A0A"/>
          <w:sz w:val="21"/>
          <w:szCs w:val="21"/>
        </w:rPr>
      </w:pPr>
      <w:r w:rsidRPr="00FD2AC7">
        <w:rPr>
          <w:rFonts w:ascii="Aptos Light" w:hAnsi="Aptos Light" w:cs="Arial"/>
          <w:color w:val="0A0A0A"/>
          <w:sz w:val="21"/>
          <w:szCs w:val="21"/>
        </w:rPr>
        <w:t>(4) The choice of cost functions feels somewhat ad hoc. The authors explicitly say that no single cost function consistently dominates across benchmark instances, yet the later analysis focuses mainly on AIC and QRMSE. I think the paper needs a cleaner argument for why these two are the right ones, beyond convenience or visual preference.</w:t>
      </w:r>
    </w:p>
    <w:p w14:paraId="431B39AF" w14:textId="77777777" w:rsidR="007E2D8F" w:rsidRPr="007E2D8F" w:rsidRDefault="007E2D8F" w:rsidP="007E2D8F">
      <w:pPr>
        <w:pStyle w:val="NormalWeb"/>
        <w:shd w:val="clear" w:color="auto" w:fill="FFFFFF"/>
        <w:spacing w:before="0" w:beforeAutospacing="0" w:after="0" w:afterAutospacing="0"/>
        <w:rPr>
          <w:rFonts w:ascii="Aptos Light" w:hAnsi="Aptos Light" w:cs="Arial"/>
          <w:color w:val="0A0A0A"/>
          <w:sz w:val="21"/>
          <w:szCs w:val="21"/>
        </w:rPr>
      </w:pPr>
      <w:r w:rsidRPr="007E2D8F">
        <w:rPr>
          <w:rFonts w:ascii="Aptos Light" w:hAnsi="Aptos Light" w:cs="Arial"/>
          <w:color w:val="0A0A0A"/>
          <w:sz w:val="21"/>
          <w:szCs w:val="21"/>
        </w:rPr>
        <w:t>This is an important point, and we have clarified it further in the revised manuscript. In our view, the choice of a cost function in this context is inherently application-dependent, and there is no universally dominant criterion across different types of series. For this reason, rather than attempting to identify a single “best” cost function, we selected two functions with complementary characteristics.</w:t>
      </w:r>
    </w:p>
    <w:p w14:paraId="138473FB" w14:textId="77777777" w:rsidR="007E2D8F" w:rsidRPr="007E2D8F" w:rsidRDefault="007E2D8F" w:rsidP="007E2D8F">
      <w:pPr>
        <w:pStyle w:val="NormalWeb"/>
        <w:shd w:val="clear" w:color="auto" w:fill="FFFFFF"/>
        <w:spacing w:before="0" w:beforeAutospacing="0" w:after="0" w:afterAutospacing="0"/>
        <w:rPr>
          <w:rFonts w:ascii="Aptos Light" w:hAnsi="Aptos Light" w:cs="Arial"/>
          <w:color w:val="0A0A0A"/>
          <w:sz w:val="21"/>
          <w:szCs w:val="21"/>
        </w:rPr>
      </w:pPr>
      <w:r w:rsidRPr="007E2D8F">
        <w:rPr>
          <w:rFonts w:ascii="Aptos Light" w:hAnsi="Aptos Light" w:cs="Arial"/>
          <w:color w:val="0A0A0A"/>
          <w:sz w:val="21"/>
          <w:szCs w:val="21"/>
        </w:rPr>
        <w:t>Specifically, AIC is a well-established criterion in the literature and tends to favor more detailed, highly segmented representations of the data. In contrast, QRMSE can be seen as a compromise between MSE and RMSE, and tends to produce more parsimonious segmentations by tolerating higher variability within segments. The two functions therefore illustrate different modeling trade-offs that are representative of a broader class of possible objectives.</w:t>
      </w:r>
    </w:p>
    <w:p w14:paraId="63133A36" w14:textId="5BC8505C" w:rsidR="00053397" w:rsidRPr="00FD2AC7" w:rsidRDefault="007E2D8F" w:rsidP="007E2D8F">
      <w:pPr>
        <w:pStyle w:val="NormalWeb"/>
        <w:shd w:val="clear" w:color="auto" w:fill="FFFFFF"/>
        <w:spacing w:before="0" w:beforeAutospacing="0"/>
        <w:rPr>
          <w:rFonts w:ascii="Aptos Light" w:hAnsi="Aptos Light" w:cs="Arial"/>
          <w:color w:val="0A0A0A"/>
          <w:sz w:val="21"/>
          <w:szCs w:val="21"/>
        </w:rPr>
      </w:pPr>
      <w:r w:rsidRPr="007E2D8F">
        <w:rPr>
          <w:rFonts w:ascii="Aptos Light" w:hAnsi="Aptos Light" w:cs="Arial"/>
          <w:color w:val="0A0A0A"/>
          <w:sz w:val="21"/>
          <w:szCs w:val="21"/>
        </w:rPr>
        <w:t>Our intention is not to advocate for these two functions as universally preferable, but rather to demonstrate how the proposed framework can accommodate cost functions with substantially different statistical properties. We have added a paragraph in the section describing the cost functions to make this motivation more explicit.</w:t>
      </w:r>
    </w:p>
    <w:p w14:paraId="0B0BB652" w14:textId="68996A86" w:rsidR="009440C7" w:rsidRDefault="009440C7" w:rsidP="009440C7">
      <w:pPr>
        <w:pStyle w:val="NormalWeb"/>
        <w:shd w:val="clear" w:color="auto" w:fill="FFFFFF"/>
        <w:rPr>
          <w:rFonts w:ascii="Aptos Light" w:hAnsi="Aptos Light" w:cs="Arial"/>
          <w:color w:val="0A0A0A"/>
          <w:sz w:val="21"/>
          <w:szCs w:val="21"/>
        </w:rPr>
      </w:pPr>
      <w:r w:rsidRPr="00FD2AC7">
        <w:rPr>
          <w:rFonts w:ascii="Aptos Light" w:hAnsi="Aptos Light" w:cs="Arial"/>
          <w:color w:val="0A0A0A"/>
          <w:sz w:val="21"/>
          <w:szCs w:val="21"/>
        </w:rPr>
        <w:t>(5) Finally, the set-covering relaxation weakens the "exactness" message. Once the model moves from set partitioning to set covering, overlapping runs have to be repaired in postprocessing, and the final TSSC solution is heuristic, even if its average gap is reported below 1%. That is a useful practical compromise, but it should not be presented too close to the paper’s global-optimality rhetoric.</w:t>
      </w:r>
    </w:p>
    <w:p w14:paraId="60988067" w14:textId="4E9DA4D3" w:rsidR="00F40ED3" w:rsidRPr="00FD2AC7" w:rsidRDefault="00F40ED3" w:rsidP="009440C7">
      <w:pPr>
        <w:pStyle w:val="NormalWeb"/>
        <w:shd w:val="clear" w:color="auto" w:fill="FFFFFF"/>
        <w:rPr>
          <w:rFonts w:ascii="Aptos Light" w:hAnsi="Aptos Light" w:cs="Arial"/>
          <w:color w:val="0A0A0A"/>
          <w:sz w:val="21"/>
          <w:szCs w:val="21"/>
        </w:rPr>
      </w:pPr>
      <w:r w:rsidRPr="00F40ED3">
        <w:rPr>
          <w:rFonts w:ascii="Aptos Light" w:hAnsi="Aptos Light" w:cs="Arial"/>
          <w:color w:val="0A0A0A"/>
          <w:sz w:val="21"/>
          <w:szCs w:val="21"/>
        </w:rPr>
        <w:t>We agree with the reviewer that the set covering relaxation should be clearly distinguished from the exact set partitioning formulation. In the revised manuscript, we have emphasized this difference more explicitly, clarifying that the TSSC model provides heuristic solutions due to the need for postprocessing. This distinction is now highlighted in the introduction, in Section 3, and in the conclusions, so as to avoid any ambiguity with respect to the global optimality</w:t>
      </w:r>
      <w:r>
        <w:rPr>
          <w:rFonts w:ascii="Aptos Light" w:hAnsi="Aptos Light" w:cs="Arial"/>
          <w:color w:val="0A0A0A"/>
          <w:sz w:val="21"/>
          <w:szCs w:val="21"/>
        </w:rPr>
        <w:t xml:space="preserve"> for CPD</w:t>
      </w:r>
      <w:r w:rsidRPr="00F40ED3">
        <w:rPr>
          <w:rFonts w:ascii="Aptos Light" w:hAnsi="Aptos Light" w:cs="Arial"/>
          <w:color w:val="0A0A0A"/>
          <w:sz w:val="21"/>
          <w:szCs w:val="21"/>
        </w:rPr>
        <w:t xml:space="preserve"> claims</w:t>
      </w:r>
      <w:r>
        <w:rPr>
          <w:rFonts w:ascii="Aptos Light" w:hAnsi="Aptos Light" w:cs="Arial"/>
          <w:color w:val="0A0A0A"/>
          <w:sz w:val="21"/>
          <w:szCs w:val="21"/>
        </w:rPr>
        <w:t>.</w:t>
      </w:r>
    </w:p>
    <w:p w14:paraId="0E628F15" w14:textId="23D98510" w:rsidR="009440C7" w:rsidRDefault="009440C7">
      <w:r w:rsidRPr="00FD2AC7">
        <w:t>Reviewer 2</w:t>
      </w:r>
    </w:p>
    <w:p w14:paraId="6AD27261" w14:textId="526D4F51" w:rsidR="00785498" w:rsidRPr="00785498" w:rsidRDefault="00785498" w:rsidP="00785498">
      <w:pPr>
        <w:pStyle w:val="NormalWeb"/>
        <w:shd w:val="clear" w:color="auto" w:fill="FFFFFF"/>
        <w:spacing w:before="0" w:beforeAutospacing="0" w:after="0" w:afterAutospacing="0"/>
        <w:rPr>
          <w:rFonts w:ascii="Aptos Light" w:hAnsi="Aptos Light" w:cs="Arial"/>
          <w:color w:val="0A0A0A"/>
          <w:sz w:val="21"/>
          <w:szCs w:val="21"/>
        </w:rPr>
      </w:pPr>
      <w:r w:rsidRPr="00785498">
        <w:rPr>
          <w:rFonts w:ascii="Aptos Light" w:hAnsi="Aptos Light" w:cs="Arial"/>
          <w:color w:val="0A0A0A"/>
          <w:sz w:val="21"/>
          <w:szCs w:val="21"/>
        </w:rPr>
        <w:t>We thank the reviewer for their careful reading and helpful comments. We have revised the manuscript as follows.</w:t>
      </w:r>
    </w:p>
    <w:p w14:paraId="0820AFB8" w14:textId="06F863E5" w:rsidR="00EE0F1B" w:rsidRDefault="009440C7">
      <w:pPr>
        <w:rPr>
          <w:rFonts w:cs="Arial"/>
          <w:color w:val="0A0A0A"/>
          <w:sz w:val="21"/>
          <w:szCs w:val="21"/>
          <w:shd w:val="clear" w:color="auto" w:fill="FFFFFF"/>
        </w:rPr>
      </w:pPr>
      <w:r w:rsidRPr="00FD2AC7">
        <w:rPr>
          <w:rFonts w:cs="Arial"/>
          <w:color w:val="0A0A0A"/>
          <w:sz w:val="21"/>
          <w:szCs w:val="21"/>
          <w:shd w:val="clear" w:color="auto" w:fill="FFFFFF"/>
        </w:rPr>
        <w:t>1. This paper addresses the importance of change point detection in time series for statistical modeling and data-driven decision-making. The proposed method uses integer linear programming (ILP), unlike conventional methods based on dynamic programming (DP), which often impose strict structural constraints on the objective function.</w:t>
      </w:r>
      <w:r w:rsidRPr="00FD2AC7">
        <w:rPr>
          <w:rFonts w:cs="Arial"/>
          <w:color w:val="0A0A0A"/>
          <w:sz w:val="21"/>
          <w:szCs w:val="21"/>
        </w:rPr>
        <w:br/>
      </w:r>
      <w:r w:rsidRPr="00FD2AC7">
        <w:rPr>
          <w:rFonts w:cs="Arial"/>
          <w:color w:val="0A0A0A"/>
          <w:sz w:val="21"/>
          <w:szCs w:val="21"/>
        </w:rPr>
        <w:lastRenderedPageBreak/>
        <w:br/>
      </w:r>
      <w:r w:rsidRPr="00FD2AC7">
        <w:rPr>
          <w:rFonts w:cs="Arial"/>
          <w:color w:val="0A0A0A"/>
          <w:sz w:val="21"/>
          <w:szCs w:val="21"/>
          <w:shd w:val="clear" w:color="auto" w:fill="FFFFFF"/>
        </w:rPr>
        <w:t>2. A novel set-partitioning model for change point detection is presented. This model leverages combinatorial optimization to identify an optimal set of segments that explain the observed data. However, it is necessary to discuss the model's goodness of fit and predictive power, which will allow for a more precise determination of the model and, consequently, its potential to estimate the behavior of the phenomenon under study in other conditions.</w:t>
      </w:r>
    </w:p>
    <w:p w14:paraId="021CECC3" w14:textId="77777777" w:rsidR="0084607A" w:rsidRDefault="0084607A">
      <w:pPr>
        <w:rPr>
          <w:rFonts w:cs="Arial"/>
          <w:color w:val="0A0A0A"/>
          <w:sz w:val="21"/>
          <w:szCs w:val="21"/>
          <w:shd w:val="clear" w:color="auto" w:fill="FFFFFF"/>
        </w:rPr>
      </w:pPr>
    </w:p>
    <w:p w14:paraId="020043AD" w14:textId="77777777" w:rsidR="0084607A" w:rsidRPr="0084607A" w:rsidRDefault="0084607A" w:rsidP="0084607A">
      <w:pPr>
        <w:spacing w:before="0"/>
        <w:rPr>
          <w:rFonts w:cs="Arial"/>
          <w:color w:val="0A0A0A"/>
          <w:sz w:val="21"/>
          <w:szCs w:val="21"/>
        </w:rPr>
      </w:pPr>
      <w:r w:rsidRPr="0084607A">
        <w:rPr>
          <w:rFonts w:cs="Arial"/>
          <w:color w:val="0A0A0A"/>
          <w:sz w:val="21"/>
          <w:szCs w:val="21"/>
        </w:rPr>
        <w:t>We have extended the manuscript to better address this point. In particular, we added a new section reporting experiments with global constraints, which allows us to discuss more explicitly the fitting behavior of the model under different cost functions and the associated trade-offs.</w:t>
      </w:r>
    </w:p>
    <w:p w14:paraId="755353E6" w14:textId="77777777" w:rsidR="0084607A" w:rsidRPr="0084607A" w:rsidRDefault="0084607A" w:rsidP="0084607A">
      <w:pPr>
        <w:spacing w:before="0"/>
        <w:rPr>
          <w:rFonts w:cs="Arial"/>
          <w:color w:val="0A0A0A"/>
          <w:sz w:val="21"/>
          <w:szCs w:val="21"/>
        </w:rPr>
      </w:pPr>
      <w:r w:rsidRPr="0084607A">
        <w:rPr>
          <w:rFonts w:cs="Arial"/>
          <w:color w:val="0A0A0A"/>
          <w:sz w:val="21"/>
          <w:szCs w:val="21"/>
        </w:rPr>
        <w:t>Regarding predictive power, we would like to clarify that the proposed approach is based on piecewise linear segmentation, which is inherently descriptive and not designed for forecasting purposes. In this setting, segments are constructed to best explain the observed data ex post, and their piecewise linear nature does not provide a natural mechanism for extrapolation beyond the observed horizon.</w:t>
      </w:r>
    </w:p>
    <w:p w14:paraId="473C14E5" w14:textId="6133A063" w:rsidR="0084607A" w:rsidRDefault="0084607A" w:rsidP="0084607A">
      <w:pPr>
        <w:spacing w:before="0"/>
        <w:rPr>
          <w:rFonts w:cs="Arial"/>
          <w:color w:val="0A0A0A"/>
          <w:sz w:val="21"/>
          <w:szCs w:val="21"/>
          <w:shd w:val="clear" w:color="auto" w:fill="FFFFFF"/>
        </w:rPr>
      </w:pPr>
      <w:r w:rsidRPr="0084607A">
        <w:rPr>
          <w:rFonts w:cs="Arial"/>
          <w:color w:val="0A0A0A"/>
          <w:sz w:val="21"/>
          <w:szCs w:val="21"/>
        </w:rPr>
        <w:t>That said, segmentation can serve as a valuable preprocessing step within forecasting frameworks, where the detected regimes inform the choice or calibration of predictive models. In this sense, forecasting can be integrated on top of segmentation, rather than segmentation being adapted to forecasting objectives. We have added a paragraph in the related literature section, with appropriate references, to clarify this distinction.</w:t>
      </w:r>
      <w:r w:rsidR="009440C7" w:rsidRPr="00FD2AC7">
        <w:rPr>
          <w:rFonts w:cs="Arial"/>
          <w:color w:val="0A0A0A"/>
          <w:sz w:val="21"/>
          <w:szCs w:val="21"/>
        </w:rPr>
        <w:br/>
      </w:r>
      <w:r w:rsidR="009440C7" w:rsidRPr="00FD2AC7">
        <w:rPr>
          <w:rFonts w:cs="Arial"/>
          <w:color w:val="0A0A0A"/>
          <w:sz w:val="21"/>
          <w:szCs w:val="21"/>
        </w:rPr>
        <w:br/>
      </w:r>
      <w:r w:rsidR="009440C7" w:rsidRPr="00FD2AC7">
        <w:rPr>
          <w:rFonts w:cs="Arial"/>
          <w:color w:val="0A0A0A"/>
          <w:sz w:val="21"/>
          <w:szCs w:val="21"/>
          <w:shd w:val="clear" w:color="auto" w:fill="FFFFFF"/>
        </w:rPr>
        <w:t>3. This approach offers significantly greater expressiveness and flexibility in the cost structure, allowing for diverse non-additive loss functions and complex penalty schemes. However, it is advisable to analyze the effect of additivity on the cost structure to demonstrate the advantages of the proposed approach, as it does not impose strict structural restrictions on the objective function.</w:t>
      </w:r>
    </w:p>
    <w:p w14:paraId="149CD73A" w14:textId="77777777" w:rsidR="0084607A" w:rsidRDefault="0084607A" w:rsidP="0084607A">
      <w:pPr>
        <w:spacing w:before="0"/>
        <w:rPr>
          <w:rFonts w:cs="Arial"/>
          <w:color w:val="0A0A0A"/>
          <w:sz w:val="21"/>
          <w:szCs w:val="21"/>
          <w:shd w:val="clear" w:color="auto" w:fill="FFFFFF"/>
        </w:rPr>
      </w:pPr>
    </w:p>
    <w:p w14:paraId="1618ED76" w14:textId="0EDE06BE" w:rsidR="00F16F7F" w:rsidRPr="00F16F7F" w:rsidRDefault="00F16F7F" w:rsidP="00F16F7F">
      <w:pPr>
        <w:spacing w:before="0"/>
        <w:rPr>
          <w:rFonts w:cs="Arial"/>
          <w:color w:val="0A0A0A"/>
          <w:sz w:val="21"/>
          <w:szCs w:val="21"/>
          <w:shd w:val="clear" w:color="auto" w:fill="FFFFFF"/>
        </w:rPr>
      </w:pPr>
      <w:r w:rsidRPr="00F16F7F">
        <w:rPr>
          <w:rFonts w:cs="Arial"/>
          <w:color w:val="0A0A0A"/>
          <w:sz w:val="21"/>
          <w:szCs w:val="21"/>
          <w:shd w:val="clear" w:color="auto" w:fill="FFFFFF"/>
        </w:rPr>
        <w:t>We acknowledge the reviewer’s observation and thank them for pointing out a significant inconsistency in the original abstract. The proposed model is strictly based on additive cost structures and does not accommodate non-additive loss functions; the reference to non-additive costs in the submitted version was therefore a substantive misstatement rather than a minor oversight.</w:t>
      </w:r>
    </w:p>
    <w:p w14:paraId="0AC2FF9D" w14:textId="4BD4CAC9" w:rsidR="009440C7" w:rsidRDefault="00F16F7F" w:rsidP="00F16F7F">
      <w:pPr>
        <w:spacing w:before="0"/>
        <w:rPr>
          <w:rFonts w:cs="Arial"/>
          <w:color w:val="0A0A0A"/>
          <w:sz w:val="21"/>
          <w:szCs w:val="21"/>
          <w:shd w:val="clear" w:color="auto" w:fill="FFFFFF"/>
        </w:rPr>
      </w:pPr>
      <w:r w:rsidRPr="00F16F7F">
        <w:rPr>
          <w:rFonts w:cs="Arial"/>
          <w:color w:val="0A0A0A"/>
          <w:sz w:val="21"/>
          <w:szCs w:val="21"/>
          <w:shd w:val="clear" w:color="auto" w:fill="FFFFFF"/>
        </w:rPr>
        <w:t>We have corrected this point in the revised manuscript and added clarifications emphasizing the necessity of the additivity assumption, which is also evident from formulations (1) and (19). The discussion in Section 4.1.1 was already consistent with this requirement, and the manuscript has now been aligned throughout.</w:t>
      </w:r>
      <w:r w:rsidR="009440C7" w:rsidRPr="00FD2AC7">
        <w:rPr>
          <w:rFonts w:cs="Arial"/>
          <w:color w:val="0A0A0A"/>
          <w:sz w:val="21"/>
          <w:szCs w:val="21"/>
        </w:rPr>
        <w:br/>
      </w:r>
      <w:r w:rsidR="009440C7" w:rsidRPr="00FD2AC7">
        <w:rPr>
          <w:rFonts w:cs="Arial"/>
          <w:color w:val="0A0A0A"/>
          <w:sz w:val="21"/>
          <w:szCs w:val="21"/>
        </w:rPr>
        <w:br/>
      </w:r>
      <w:r w:rsidR="009440C7" w:rsidRPr="00FD2AC7">
        <w:rPr>
          <w:rFonts w:cs="Arial"/>
          <w:color w:val="0A0A0A"/>
          <w:sz w:val="21"/>
          <w:szCs w:val="21"/>
          <w:shd w:val="clear" w:color="auto" w:fill="FFFFFF"/>
        </w:rPr>
        <w:t>4. The references are appropriate to the context of the phenomenon under study.</w:t>
      </w:r>
      <w:r w:rsidR="009440C7" w:rsidRPr="00FD2AC7">
        <w:rPr>
          <w:rFonts w:cs="Arial"/>
          <w:color w:val="0A0A0A"/>
          <w:sz w:val="21"/>
          <w:szCs w:val="21"/>
        </w:rPr>
        <w:br/>
      </w:r>
      <w:r w:rsidR="009440C7" w:rsidRPr="00FD2AC7">
        <w:rPr>
          <w:rFonts w:cs="Arial"/>
          <w:color w:val="0A0A0A"/>
          <w:sz w:val="21"/>
          <w:szCs w:val="21"/>
        </w:rPr>
        <w:br/>
      </w:r>
      <w:r w:rsidR="009440C7" w:rsidRPr="00FD2AC7">
        <w:rPr>
          <w:rFonts w:cs="Arial"/>
          <w:color w:val="0A0A0A"/>
          <w:sz w:val="21"/>
          <w:szCs w:val="21"/>
          <w:shd w:val="clear" w:color="auto" w:fill="FFFFFF"/>
        </w:rPr>
        <w:t>5. The efficiency of modern MILP solvers, combined with customized dominance rules, allows for the solution of instances with several hundred observations in practical time. Nevertheless, the analysis and interpretation of possible solutions in diverse scenarios and operating conditions are required to observe the scope, breadth, and applicability of the proposed method.</w:t>
      </w:r>
    </w:p>
    <w:p w14:paraId="3D744EB8" w14:textId="77777777" w:rsidR="006323F1" w:rsidRDefault="006323F1" w:rsidP="00F16F7F">
      <w:pPr>
        <w:spacing w:before="0"/>
        <w:rPr>
          <w:rFonts w:cs="Arial"/>
          <w:color w:val="0A0A0A"/>
          <w:sz w:val="21"/>
          <w:szCs w:val="21"/>
          <w:shd w:val="clear" w:color="auto" w:fill="FFFFFF"/>
        </w:rPr>
      </w:pPr>
    </w:p>
    <w:p w14:paraId="09EBFBA2" w14:textId="3D5DA020" w:rsidR="006323F1" w:rsidRPr="006323F1" w:rsidRDefault="006323F1" w:rsidP="006323F1">
      <w:pPr>
        <w:spacing w:before="0"/>
        <w:rPr>
          <w:rFonts w:cs="Arial"/>
          <w:color w:val="0A0A0A"/>
          <w:sz w:val="21"/>
          <w:szCs w:val="21"/>
          <w:shd w:val="clear" w:color="auto" w:fill="FFFFFF"/>
        </w:rPr>
      </w:pPr>
      <w:r w:rsidRPr="006323F1">
        <w:rPr>
          <w:rFonts w:cs="Arial"/>
          <w:color w:val="0A0A0A"/>
          <w:sz w:val="21"/>
          <w:szCs w:val="21"/>
          <w:shd w:val="clear" w:color="auto" w:fill="FFFFFF"/>
        </w:rPr>
        <w:t>We addressed the applicability of the proposed method across diverse scenarios by conducting experiments on well-established benchmark datasets from forecasting competitions, which are specifically designed to cover a wide range of application domains. To further emphasize this aspect, we report in all tables the category of each instance, highlighting the robustness of the approach with respect to different types of time series.</w:t>
      </w:r>
    </w:p>
    <w:p w14:paraId="0A490E74" w14:textId="3D2130E5" w:rsidR="006323F1" w:rsidRDefault="006323F1" w:rsidP="006323F1">
      <w:pPr>
        <w:spacing w:before="0"/>
        <w:rPr>
          <w:rFonts w:cs="Arial"/>
          <w:color w:val="0A0A0A"/>
          <w:sz w:val="21"/>
          <w:szCs w:val="21"/>
          <w:shd w:val="clear" w:color="auto" w:fill="FFFFFF"/>
        </w:rPr>
      </w:pPr>
      <w:r w:rsidRPr="006323F1">
        <w:rPr>
          <w:rFonts w:cs="Arial"/>
          <w:color w:val="0A0A0A"/>
          <w:sz w:val="21"/>
          <w:szCs w:val="21"/>
          <w:shd w:val="clear" w:color="auto" w:fill="FFFFFF"/>
        </w:rPr>
        <w:t>In addition, we have expanded the discussion on the scope and applicability of the method by introducing a new Section 4.2.4. In this section, we explicitly analyze the computational limitations of the approach, showing how the non-polynomial nature of the formulation may impact performance on moderately sized instances. We believe that this addition provides a clearer and more balanced assessment of both the strengths and the limits of the proposed method.</w:t>
      </w:r>
    </w:p>
    <w:p w14:paraId="64A261D7" w14:textId="77777777" w:rsidR="006323F1" w:rsidRPr="00FD2AC7" w:rsidRDefault="006323F1" w:rsidP="00F16F7F">
      <w:pPr>
        <w:spacing w:before="0"/>
      </w:pPr>
    </w:p>
    <w:sectPr w:rsidR="006323F1" w:rsidRPr="00FD2A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Light">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0C7"/>
    <w:rsid w:val="00053397"/>
    <w:rsid w:val="000E4B0B"/>
    <w:rsid w:val="00305904"/>
    <w:rsid w:val="003A3F25"/>
    <w:rsid w:val="003F743E"/>
    <w:rsid w:val="0042466C"/>
    <w:rsid w:val="004857D3"/>
    <w:rsid w:val="004865A7"/>
    <w:rsid w:val="0049711E"/>
    <w:rsid w:val="006323F1"/>
    <w:rsid w:val="00636388"/>
    <w:rsid w:val="00785498"/>
    <w:rsid w:val="007E2D8F"/>
    <w:rsid w:val="0084607A"/>
    <w:rsid w:val="00900C96"/>
    <w:rsid w:val="009440C7"/>
    <w:rsid w:val="00AD1874"/>
    <w:rsid w:val="00B554B4"/>
    <w:rsid w:val="00CD63F4"/>
    <w:rsid w:val="00D21A46"/>
    <w:rsid w:val="00E70514"/>
    <w:rsid w:val="00EE0F1B"/>
    <w:rsid w:val="00F16F7F"/>
    <w:rsid w:val="00F40ED3"/>
    <w:rsid w:val="00FD2A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06D86"/>
  <w15:chartTrackingRefBased/>
  <w15:docId w15:val="{A8C9887D-665B-4003-AD3A-E0E9E365D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B0B"/>
    <w:pPr>
      <w:spacing w:before="120" w:after="0" w:line="240" w:lineRule="auto"/>
    </w:pPr>
    <w:rPr>
      <w:rFonts w:ascii="Aptos Light" w:hAnsi="Aptos Light"/>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440C7"/>
    <w:pPr>
      <w:spacing w:before="100" w:beforeAutospacing="1" w:after="100" w:afterAutospacing="1"/>
    </w:pPr>
    <w:rPr>
      <w:rFonts w:ascii="Times New Roman" w:eastAsia="Times New Roman" w:hAnsi="Times New Roman" w:cs="Times New Roman"/>
      <w:szCs w:val="24"/>
    </w:rPr>
  </w:style>
  <w:style w:type="paragraph" w:styleId="ListParagraph">
    <w:name w:val="List Paragraph"/>
    <w:basedOn w:val="Normal"/>
    <w:uiPriority w:val="34"/>
    <w:qFormat/>
    <w:rsid w:val="00EE0F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9026823">
      <w:bodyDiv w:val="1"/>
      <w:marLeft w:val="0"/>
      <w:marRight w:val="0"/>
      <w:marTop w:val="0"/>
      <w:marBottom w:val="0"/>
      <w:divBdr>
        <w:top w:val="none" w:sz="0" w:space="0" w:color="auto"/>
        <w:left w:val="none" w:sz="0" w:space="0" w:color="auto"/>
        <w:bottom w:val="none" w:sz="0" w:space="0" w:color="auto"/>
        <w:right w:val="none" w:sz="0" w:space="0" w:color="auto"/>
      </w:divBdr>
    </w:div>
    <w:div w:id="1826697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843</TotalTime>
  <Pages>4</Pages>
  <Words>1759</Words>
  <Characters>10028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Vittorio Maniezzo</dc:creator>
  <cp:keywords/>
  <dc:description/>
  <cp:lastModifiedBy>Vittorio Maniezzo</cp:lastModifiedBy>
  <cp:revision>14</cp:revision>
  <dcterms:created xsi:type="dcterms:W3CDTF">2026-04-07T07:49:00Z</dcterms:created>
  <dcterms:modified xsi:type="dcterms:W3CDTF">2026-04-10T08:37:00Z</dcterms:modified>
</cp:coreProperties>
</file>