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2A694" w14:textId="177075CC" w:rsidR="00DA358E" w:rsidRDefault="00E41E0B" w:rsidP="000806F1">
      <w:r>
        <w:t>Forecasting-oriented changepoint detection</w:t>
      </w:r>
    </w:p>
    <w:p w14:paraId="29006F40" w14:textId="33EC8763" w:rsidR="00AB384A" w:rsidRPr="00911C04" w:rsidRDefault="00AB384A" w:rsidP="000806F1">
      <w:r w:rsidRPr="00911C04">
        <w:t xml:space="preserve">Vittorio Maniezzo, University of Bologna, </w:t>
      </w:r>
      <w:proofErr w:type="spellStart"/>
      <w:r w:rsidRPr="00911C04">
        <w:t>Livio</w:t>
      </w:r>
      <w:proofErr w:type="spellEnd"/>
      <w:r w:rsidRPr="00911C04">
        <w:t xml:space="preserve"> </w:t>
      </w:r>
      <w:proofErr w:type="spellStart"/>
      <w:r w:rsidRPr="00911C04">
        <w:t>Fenga</w:t>
      </w:r>
      <w:proofErr w:type="spellEnd"/>
      <w:r w:rsidRPr="00911C04">
        <w:t>, University of Exeter</w:t>
      </w:r>
    </w:p>
    <w:p w14:paraId="15F9FD0F" w14:textId="529EA4AB" w:rsidR="007A58E9" w:rsidRPr="007A58E9" w:rsidRDefault="007A58E9" w:rsidP="007A58E9">
      <w:r w:rsidRPr="00911C04">
        <w:rPr>
          <w:b/>
          <w:bCs/>
        </w:rPr>
        <w:t>Introduction</w:t>
      </w:r>
      <w:r w:rsidRPr="00911C04">
        <w:t xml:space="preserve">. </w:t>
      </w:r>
      <w:r w:rsidRPr="007A58E9">
        <w:t>Structural changes are a major source of forecast degradation in time series analysis. Classical changepoint methods typically identify piecewise-constant or piecewise-linear regimes, but such descriptive segmentations do not necessarily correspond to changes in predictive behavior. In many applications, a changepoint does not reflect a modification of the underlying</w:t>
      </w:r>
      <w:r w:rsidR="00EA7E89">
        <w:t xml:space="preserve"> data generating process</w:t>
      </w:r>
      <w:r w:rsidRPr="007A58E9">
        <w:t xml:space="preserve"> </w:t>
      </w:r>
      <w:r w:rsidR="00EA7E89">
        <w:t>(</w:t>
      </w:r>
      <w:r w:rsidRPr="007A58E9">
        <w:t>DGP</w:t>
      </w:r>
      <w:r w:rsidR="00EA7E89">
        <w:t>)</w:t>
      </w:r>
      <w:r w:rsidRPr="007A58E9">
        <w:t>, but rather a loss of predictive homogeneity in the forecasting model. This work introduces a forecasting-oriented segmentation framework that defines regime boundaries according to changes in predictive performance.</w:t>
      </w:r>
    </w:p>
    <w:p w14:paraId="326DE5BE" w14:textId="5259784A" w:rsidR="007A58E9" w:rsidRPr="007A58E9" w:rsidRDefault="007A58E9" w:rsidP="007A58E9">
      <w:r w:rsidRPr="007A58E9">
        <w:rPr>
          <w:b/>
          <w:bCs/>
        </w:rPr>
        <w:t>Methods</w:t>
      </w:r>
      <w:r w:rsidRPr="007A58E9">
        <w:t xml:space="preserve">. The proposed approach partitions a time series into segments within which a forecasting model remains locally adequate. Candidate segmentations are evaluated through predictive loss functions and information-theoretic criteria (e.g., AIC), rather than approximation error. This formulation is more general than parameter-drift-based approaches, which detect instability through changes in estimated parameters, Fisher information, or local convergence properties. While parameter drift can be used as a diagnostic to validate predictive segmentation, it is not required by the framework. </w:t>
      </w:r>
      <w:r w:rsidR="00CF0D1D" w:rsidRPr="00CF0D1D">
        <w:t>The objective function remains additive across segments, but predictive loss functions may not satisfy sub- or super</w:t>
      </w:r>
      <w:r w:rsidR="00CF0D1D">
        <w:t>-</w:t>
      </w:r>
      <w:r w:rsidR="00CF0D1D" w:rsidRPr="00CF0D1D">
        <w:t>additivity, which affects the efficiency of classical optimization strategies</w:t>
      </w:r>
      <w:r w:rsidRPr="007A58E9">
        <w:t>.</w:t>
      </w:r>
      <w:r w:rsidR="00911C04">
        <w:t xml:space="preserve"> </w:t>
      </w:r>
      <w:r w:rsidR="00911C04" w:rsidRPr="00911C04">
        <w:t>This perspective aligns with the emerging view that forecasting performance, rather than structural approximation, should guide regime identification in nonstationary environments.</w:t>
      </w:r>
    </w:p>
    <w:p w14:paraId="3D1373D4" w14:textId="728198A9" w:rsidR="007A58E9" w:rsidRPr="007A58E9" w:rsidRDefault="007A58E9" w:rsidP="007A58E9">
      <w:r w:rsidRPr="007A58E9">
        <w:rPr>
          <w:b/>
          <w:bCs/>
        </w:rPr>
        <w:t>Results</w:t>
      </w:r>
      <w:r w:rsidRPr="007A58E9">
        <w:t>. Experiments on synthetic and real-world datasets show that predictive-model-based segmentation identifies regime boundaries aligned with shifts in forecasting adequacy, even when the DGP remains stable. Across multiple model classes, the proposed framework yields improved forecast accuracy compared to approximation-based and parameter-drift-based methods.</w:t>
      </w:r>
    </w:p>
    <w:p w14:paraId="2E4F62A2" w14:textId="77777777" w:rsidR="007A58E9" w:rsidRPr="007A58E9" w:rsidRDefault="007A58E9" w:rsidP="007A58E9">
      <w:r w:rsidRPr="007A58E9">
        <w:rPr>
          <w:b/>
          <w:bCs/>
        </w:rPr>
        <w:t>Conclusions</w:t>
      </w:r>
      <w:r w:rsidRPr="007A58E9">
        <w:t>. Recasting changepoint detection as a forecasting-driven segmentation problem provides a principled way to integrate structural change detection, model adequacy assessment, and forecast generation. This perspective generalizes parameter-instability approaches and offers a flexible foundation for predictive regime identification.</w:t>
      </w:r>
    </w:p>
    <w:p w14:paraId="30EFCBBC" w14:textId="77777777" w:rsidR="00A675D5" w:rsidRDefault="00A675D5"/>
    <w:p w14:paraId="453AF474" w14:textId="77777777" w:rsidR="00914467" w:rsidRPr="00914467" w:rsidRDefault="00914467" w:rsidP="00914467">
      <w:r w:rsidRPr="00914467">
        <w:rPr>
          <w:b/>
          <w:bCs/>
        </w:rPr>
        <w:t>The closest existing literature</w:t>
      </w:r>
    </w:p>
    <w:p w14:paraId="01C0E17B" w14:textId="77777777" w:rsidR="00914467" w:rsidRPr="00914467" w:rsidRDefault="00914467" w:rsidP="00914467">
      <w:pPr>
        <w:numPr>
          <w:ilvl w:val="0"/>
          <w:numId w:val="1"/>
        </w:numPr>
      </w:pPr>
      <w:proofErr w:type="spellStart"/>
      <w:r w:rsidRPr="00914467">
        <w:t>Eckley</w:t>
      </w:r>
      <w:proofErr w:type="spellEnd"/>
      <w:r w:rsidRPr="00914467">
        <w:t xml:space="preserve">, </w:t>
      </w:r>
      <w:proofErr w:type="spellStart"/>
      <w:r w:rsidRPr="00914467">
        <w:t>Fearnhead</w:t>
      </w:r>
      <w:proofErr w:type="spellEnd"/>
      <w:r w:rsidRPr="00914467">
        <w:t xml:space="preserve"> &amp; Killick (2011) — general framework for nonlinear cost changepoint detection, but cost function design is left to the researcher</w:t>
      </w:r>
    </w:p>
    <w:p w14:paraId="5F96EF44" w14:textId="77777777" w:rsidR="00914467" w:rsidRPr="00914467" w:rsidRDefault="00914467" w:rsidP="00914467">
      <w:pPr>
        <w:numPr>
          <w:ilvl w:val="0"/>
          <w:numId w:val="1"/>
        </w:numPr>
      </w:pPr>
      <w:r w:rsidRPr="00914467">
        <w:t xml:space="preserve">Nassar &amp; </w:t>
      </w:r>
      <w:proofErr w:type="spellStart"/>
      <w:r w:rsidRPr="00914467">
        <w:t>Galka's</w:t>
      </w:r>
      <w:proofErr w:type="spellEnd"/>
      <w:r w:rsidRPr="00914467">
        <w:t xml:space="preserve"> work on switching state-space models</w:t>
      </w:r>
    </w:p>
    <w:p w14:paraId="3C65FDC4" w14:textId="77777777" w:rsidR="00914467" w:rsidRPr="00914467" w:rsidRDefault="00914467" w:rsidP="00914467">
      <w:pPr>
        <w:numPr>
          <w:ilvl w:val="0"/>
          <w:numId w:val="1"/>
        </w:numPr>
      </w:pPr>
      <w:r w:rsidRPr="00914467">
        <w:t xml:space="preserve">The </w:t>
      </w:r>
      <w:r w:rsidRPr="00914467">
        <w:rPr>
          <w:b/>
          <w:bCs/>
        </w:rPr>
        <w:t>BOCPD + non-Gaussian predictive</w:t>
      </w:r>
      <w:r w:rsidRPr="00914467">
        <w:t xml:space="preserve"> line (Adams &amp; MacKay 2007 extended): you can plug any probabilistic forecasting model as the segment likelihood, including ETS, and get posterior changepoint probabilities — this might be your most natural framework</w:t>
      </w:r>
    </w:p>
    <w:p w14:paraId="2FC50E90" w14:textId="77777777" w:rsidR="00914467" w:rsidRPr="00914467" w:rsidRDefault="00914467" w:rsidP="00914467">
      <w:pPr>
        <w:numPr>
          <w:ilvl w:val="0"/>
          <w:numId w:val="1"/>
        </w:numPr>
      </w:pPr>
      <w:r w:rsidRPr="00914467">
        <w:rPr>
          <w:b/>
          <w:bCs/>
        </w:rPr>
        <w:t>Interrupted time series with ETS</w:t>
      </w:r>
      <w:r w:rsidRPr="00914467">
        <w:t xml:space="preserve"> in epidemiology literature, though mostly ad hoc</w:t>
      </w:r>
    </w:p>
    <w:p w14:paraId="0188C308" w14:textId="77777777" w:rsidR="00BF611F" w:rsidRPr="00BF611F" w:rsidRDefault="00BF611F" w:rsidP="00BF611F">
      <w:r w:rsidRPr="00BF611F">
        <w:t xml:space="preserve">What you're really building is closer to a </w:t>
      </w:r>
      <w:r w:rsidRPr="00BF611F">
        <w:rPr>
          <w:b/>
          <w:bCs/>
        </w:rPr>
        <w:t>forecasting-loss-based changepoint criterion</w:t>
      </w:r>
      <w:r w:rsidRPr="00BF611F">
        <w:t>: the breakpoint location is chosen to minimize out-of-segment forecast error, not in-sample fit. This is related to but distinct from predictive likelihood approaches — you're explicitly using a held-out window as the cost signal. That's a clean and defensible methodological choice, and relatively underexplored compared to likelihood-based segmentation.</w:t>
      </w:r>
    </w:p>
    <w:p w14:paraId="76AEC9AB" w14:textId="77777777" w:rsidR="00BF611F" w:rsidRPr="00BF611F" w:rsidRDefault="00BF611F" w:rsidP="00BF611F">
      <w:r w:rsidRPr="00BF611F">
        <w:lastRenderedPageBreak/>
        <w:t>The natural evaluation loop would then be:</w:t>
      </w:r>
    </w:p>
    <w:p w14:paraId="2A7B9511" w14:textId="77777777" w:rsidR="00BF611F" w:rsidRPr="00BF611F" w:rsidRDefault="00BF611F" w:rsidP="00BF611F">
      <w:pPr>
        <w:numPr>
          <w:ilvl w:val="0"/>
          <w:numId w:val="2"/>
        </w:numPr>
      </w:pPr>
      <w:r w:rsidRPr="00BF611F">
        <w:t>Propose a segmentation</w:t>
      </w:r>
    </w:p>
    <w:p w14:paraId="62127A6D" w14:textId="77777777" w:rsidR="00BF611F" w:rsidRPr="00BF611F" w:rsidRDefault="00BF611F" w:rsidP="00BF611F">
      <w:pPr>
        <w:numPr>
          <w:ilvl w:val="0"/>
          <w:numId w:val="2"/>
        </w:numPr>
      </w:pPr>
      <w:r w:rsidRPr="00BF611F">
        <w:t>For each segment, fit ETS (or competing model) on the segment</w:t>
      </w:r>
    </w:p>
    <w:p w14:paraId="79EF8BD9" w14:textId="77777777" w:rsidR="00BF611F" w:rsidRPr="00BF611F" w:rsidRDefault="00BF611F" w:rsidP="00BF611F">
      <w:pPr>
        <w:numPr>
          <w:ilvl w:val="0"/>
          <w:numId w:val="2"/>
        </w:numPr>
      </w:pPr>
      <w:r w:rsidRPr="00BF611F">
        <w:t xml:space="preserve">Forecast </w:t>
      </w:r>
      <w:r w:rsidRPr="00BF611F">
        <w:rPr>
          <w:i/>
          <w:iCs/>
        </w:rPr>
        <w:t>h</w:t>
      </w:r>
      <w:r w:rsidRPr="00BF611F">
        <w:t xml:space="preserve"> steps beyond the segment end</w:t>
      </w:r>
    </w:p>
    <w:p w14:paraId="75D50561" w14:textId="77777777" w:rsidR="00BF611F" w:rsidRPr="00BF611F" w:rsidRDefault="00BF611F" w:rsidP="00BF611F">
      <w:pPr>
        <w:numPr>
          <w:ilvl w:val="0"/>
          <w:numId w:val="2"/>
        </w:numPr>
      </w:pPr>
      <w:r w:rsidRPr="00BF611F">
        <w:t>Score against actuals</w:t>
      </w:r>
    </w:p>
    <w:p w14:paraId="083C5CB1" w14:textId="77777777" w:rsidR="00BF611F" w:rsidRPr="00BF611F" w:rsidRDefault="00BF611F" w:rsidP="00BF611F">
      <w:pPr>
        <w:numPr>
          <w:ilvl w:val="0"/>
          <w:numId w:val="2"/>
        </w:numPr>
      </w:pPr>
      <w:r w:rsidRPr="00BF611F">
        <w:t>Optimize segmentation to minimize aggregate forecast error across all segment boundaries</w:t>
      </w:r>
    </w:p>
    <w:p w14:paraId="0EBCAEEC" w14:textId="77777777" w:rsidR="00BF611F" w:rsidRPr="00BF611F" w:rsidRDefault="00BF611F" w:rsidP="00BF611F">
      <w:r w:rsidRPr="00BF611F">
        <w:t xml:space="preserve">This turns changepoint detection into a </w:t>
      </w:r>
      <w:r w:rsidRPr="00BF611F">
        <w:rPr>
          <w:b/>
          <w:bCs/>
        </w:rPr>
        <w:t>structured prediction problem</w:t>
      </w:r>
      <w:r w:rsidRPr="00BF611F">
        <w:t xml:space="preserve"> with forecast quality as the objective — which is a genuine reframing of the standard approach.</w:t>
      </w:r>
    </w:p>
    <w:p w14:paraId="3786009D" w14:textId="77777777" w:rsidR="00961F65" w:rsidRPr="00961F65" w:rsidRDefault="00961F65" w:rsidP="00961F65">
      <w:r w:rsidRPr="00961F65">
        <w:rPr>
          <w:b/>
          <w:bCs/>
        </w:rPr>
        <w:t>The IP formulation</w:t>
      </w:r>
    </w:p>
    <w:p w14:paraId="2AD25FFA" w14:textId="77777777" w:rsidR="00961F65" w:rsidRPr="00961F65" w:rsidRDefault="00961F65" w:rsidP="00961F65">
      <w:r w:rsidRPr="00961F65">
        <w:t>You're essentially solving a variant of the minimum-cost segmentation problem:</w:t>
      </w:r>
    </w:p>
    <w:p w14:paraId="63B8C499" w14:textId="77777777" w:rsidR="00961F65" w:rsidRPr="00961F65" w:rsidRDefault="00961F65" w:rsidP="00961F65">
      <w:r w:rsidRPr="00961F65">
        <w:t>min</w:t>
      </w:r>
      <w:r w:rsidRPr="00961F65">
        <w:rPr>
          <w:rFonts w:ascii="Cambria Math" w:hAnsi="Cambria Math" w:cs="Cambria Math"/>
        </w:rPr>
        <w:t>⁡</w:t>
      </w:r>
      <w:r w:rsidRPr="00961F65">
        <w:rPr>
          <w:rFonts w:ascii="Aptos" w:hAnsi="Aptos" w:cs="Aptos"/>
        </w:rPr>
        <w:t>∑</w:t>
      </w:r>
      <w:r w:rsidRPr="00961F65">
        <w:t>kc(</w:t>
      </w:r>
      <w:proofErr w:type="spellStart"/>
      <w:r w:rsidRPr="00961F65">
        <w:t>sk,ek</w:t>
      </w:r>
      <w:proofErr w:type="spellEnd"/>
      <w:r w:rsidRPr="00961F65">
        <w:t>)\min \sum_{k} c(</w:t>
      </w:r>
      <w:proofErr w:type="spellStart"/>
      <w:r w:rsidRPr="00961F65">
        <w:t>s_k</w:t>
      </w:r>
      <w:proofErr w:type="spellEnd"/>
      <w:r w:rsidRPr="00961F65">
        <w:t xml:space="preserve">, </w:t>
      </w:r>
      <w:proofErr w:type="spellStart"/>
      <w:r w:rsidRPr="00961F65">
        <w:t>e_k</w:t>
      </w:r>
      <w:proofErr w:type="spellEnd"/>
      <w:r w:rsidRPr="00961F65">
        <w:t>)mink∑</w:t>
      </w:r>
      <w:r w:rsidRPr="00961F65">
        <w:rPr>
          <w:rFonts w:ascii="Arial" w:hAnsi="Arial" w:cs="Arial"/>
        </w:rPr>
        <w:t>​</w:t>
      </w:r>
      <w:r w:rsidRPr="00961F65">
        <w:t>c(</w:t>
      </w:r>
      <w:proofErr w:type="spellStart"/>
      <w:r w:rsidRPr="00961F65">
        <w:t>sk</w:t>
      </w:r>
      <w:proofErr w:type="spellEnd"/>
      <w:r w:rsidRPr="00961F65">
        <w:rPr>
          <w:rFonts w:ascii="Arial" w:hAnsi="Arial" w:cs="Arial"/>
        </w:rPr>
        <w:t>​</w:t>
      </w:r>
      <w:r w:rsidRPr="00961F65">
        <w:t>,ek</w:t>
      </w:r>
      <w:r w:rsidRPr="00961F65">
        <w:rPr>
          <w:rFonts w:ascii="Arial" w:hAnsi="Arial" w:cs="Arial"/>
        </w:rPr>
        <w:t>​</w:t>
      </w:r>
      <w:r w:rsidRPr="00961F65">
        <w:t xml:space="preserve">) </w:t>
      </w:r>
    </w:p>
    <w:p w14:paraId="425B0610" w14:textId="77777777" w:rsidR="00961F65" w:rsidRPr="00961F65" w:rsidRDefault="00961F65" w:rsidP="00961F65">
      <w:r w:rsidRPr="00961F65">
        <w:t>where each segment (</w:t>
      </w:r>
      <w:proofErr w:type="spellStart"/>
      <w:r w:rsidRPr="00961F65">
        <w:t>sk,ek</w:t>
      </w:r>
      <w:proofErr w:type="spellEnd"/>
      <w:r w:rsidRPr="00961F65">
        <w:t>)(</w:t>
      </w:r>
      <w:proofErr w:type="spellStart"/>
      <w:r w:rsidRPr="00961F65">
        <w:t>s_k</w:t>
      </w:r>
      <w:proofErr w:type="spellEnd"/>
      <w:r w:rsidRPr="00961F65">
        <w:t xml:space="preserve">, </w:t>
      </w:r>
      <w:proofErr w:type="spellStart"/>
      <w:r w:rsidRPr="00961F65">
        <w:t>e_k</w:t>
      </w:r>
      <w:proofErr w:type="spellEnd"/>
      <w:r w:rsidRPr="00961F65">
        <w:t>) (</w:t>
      </w:r>
      <w:proofErr w:type="spellStart"/>
      <w:r w:rsidRPr="00961F65">
        <w:t>sk</w:t>
      </w:r>
      <w:proofErr w:type="spellEnd"/>
      <w:r w:rsidRPr="00961F65">
        <w:rPr>
          <w:rFonts w:ascii="Arial" w:hAnsi="Arial" w:cs="Arial"/>
        </w:rPr>
        <w:t>​</w:t>
      </w:r>
      <w:r w:rsidRPr="00961F65">
        <w:t>,ek</w:t>
      </w:r>
      <w:r w:rsidRPr="00961F65">
        <w:rPr>
          <w:rFonts w:ascii="Arial" w:hAnsi="Arial" w:cs="Arial"/>
        </w:rPr>
        <w:t>​</w:t>
      </w:r>
      <w:r w:rsidRPr="00961F65">
        <w:t>) has cost = RMSE of ETS/Theta fitted on [</w:t>
      </w:r>
      <w:proofErr w:type="spellStart"/>
      <w:r w:rsidRPr="00961F65">
        <w:t>sk,ek</w:t>
      </w:r>
      <w:proofErr w:type="spellEnd"/>
      <w:r w:rsidRPr="00961F65">
        <w:t>][</w:t>
      </w:r>
      <w:proofErr w:type="spellStart"/>
      <w:r w:rsidRPr="00961F65">
        <w:t>s_k</w:t>
      </w:r>
      <w:proofErr w:type="spellEnd"/>
      <w:r w:rsidRPr="00961F65">
        <w:t xml:space="preserve">, </w:t>
      </w:r>
      <w:proofErr w:type="spellStart"/>
      <w:r w:rsidRPr="00961F65">
        <w:t>e_k</w:t>
      </w:r>
      <w:proofErr w:type="spellEnd"/>
      <w:r w:rsidRPr="00961F65">
        <w:t>] [</w:t>
      </w:r>
      <w:proofErr w:type="spellStart"/>
      <w:r w:rsidRPr="00961F65">
        <w:t>sk</w:t>
      </w:r>
      <w:proofErr w:type="spellEnd"/>
      <w:r w:rsidRPr="00961F65">
        <w:rPr>
          <w:rFonts w:ascii="Arial" w:hAnsi="Arial" w:cs="Arial"/>
        </w:rPr>
        <w:t>​</w:t>
      </w:r>
      <w:r w:rsidRPr="00961F65">
        <w:t>,ek</w:t>
      </w:r>
      <w:r w:rsidRPr="00961F65">
        <w:rPr>
          <w:rFonts w:ascii="Arial" w:hAnsi="Arial" w:cs="Arial"/>
        </w:rPr>
        <w:t>​</w:t>
      </w:r>
      <w:r w:rsidRPr="00961F65">
        <w:t>] and evaluated on [ek+1,ek+6][e_k+1, e_k+6] [ek</w:t>
      </w:r>
      <w:r w:rsidRPr="00961F65">
        <w:rPr>
          <w:rFonts w:ascii="Arial" w:hAnsi="Arial" w:cs="Arial"/>
        </w:rPr>
        <w:t>​</w:t>
      </w:r>
      <w:r w:rsidRPr="00961F65">
        <w:t>+1,ek</w:t>
      </w:r>
      <w:r w:rsidRPr="00961F65">
        <w:rPr>
          <w:rFonts w:ascii="Arial" w:hAnsi="Arial" w:cs="Arial"/>
        </w:rPr>
        <w:t>​</w:t>
      </w:r>
      <w:r w:rsidRPr="00961F65">
        <w:t>+6], subject to the segments partitioning the series. This is a clean integer program — binary variables on breakpoint locations, contiguity constraints, possibly a minimum segment length constraint to avoid degenerate splits.</w:t>
      </w:r>
    </w:p>
    <w:p w14:paraId="39045D8B" w14:textId="77777777" w:rsidR="00961F65" w:rsidRPr="00961F65" w:rsidRDefault="00961F65" w:rsidP="00961F65">
      <w:r w:rsidRPr="00961F65">
        <w:rPr>
          <w:b/>
          <w:bCs/>
        </w:rPr>
        <w:t>What makes this tractable</w:t>
      </w:r>
    </w:p>
    <w:p w14:paraId="77856D24" w14:textId="77777777" w:rsidR="00961F65" w:rsidRPr="00961F65" w:rsidRDefault="00961F65" w:rsidP="00961F65">
      <w:r w:rsidRPr="00961F65">
        <w:t>The cost matrix C[</w:t>
      </w:r>
      <w:proofErr w:type="spellStart"/>
      <w:r w:rsidRPr="00961F65">
        <w:t>i,j</w:t>
      </w:r>
      <w:proofErr w:type="spellEnd"/>
      <w:r w:rsidRPr="00961F65">
        <w:t>]C[</w:t>
      </w:r>
      <w:proofErr w:type="spellStart"/>
      <w:r w:rsidRPr="00961F65">
        <w:t>i,j</w:t>
      </w:r>
      <w:proofErr w:type="spellEnd"/>
      <w:r w:rsidRPr="00961F65">
        <w:t>] C[</w:t>
      </w:r>
      <w:proofErr w:type="spellStart"/>
      <w:r w:rsidRPr="00961F65">
        <w:t>i,j</w:t>
      </w:r>
      <w:proofErr w:type="spellEnd"/>
      <w:r w:rsidRPr="00961F65">
        <w:t xml:space="preserve">] (cost of segment from ii </w:t>
      </w:r>
      <w:proofErr w:type="spellStart"/>
      <w:r w:rsidRPr="00961F65">
        <w:t>i</w:t>
      </w:r>
      <w:proofErr w:type="spellEnd"/>
      <w:r w:rsidRPr="00961F65">
        <w:t xml:space="preserve"> to </w:t>
      </w:r>
      <w:proofErr w:type="spellStart"/>
      <w:r w:rsidRPr="00961F65">
        <w:t>jj</w:t>
      </w:r>
      <w:proofErr w:type="spellEnd"/>
      <w:r w:rsidRPr="00961F65">
        <w:t xml:space="preserve"> j) can be precomputed exhaustively for all valid (</w:t>
      </w:r>
      <w:proofErr w:type="spellStart"/>
      <w:r w:rsidRPr="00961F65">
        <w:t>i,j</w:t>
      </w:r>
      <w:proofErr w:type="spellEnd"/>
      <w:r w:rsidRPr="00961F65">
        <w:t>)(</w:t>
      </w:r>
      <w:proofErr w:type="spellStart"/>
      <w:r w:rsidRPr="00961F65">
        <w:t>i,j</w:t>
      </w:r>
      <w:proofErr w:type="spellEnd"/>
      <w:r w:rsidRPr="00961F65">
        <w:t>) (</w:t>
      </w:r>
      <w:proofErr w:type="spellStart"/>
      <w:r w:rsidRPr="00961F65">
        <w:t>i,j</w:t>
      </w:r>
      <w:proofErr w:type="spellEnd"/>
      <w:r w:rsidRPr="00961F65">
        <w:t xml:space="preserve">) pairs, then the IP is just selecting a non-overlapping cover of the time axis minimizing total cost. With a series of length </w:t>
      </w:r>
      <w:proofErr w:type="spellStart"/>
      <w:r w:rsidRPr="00961F65">
        <w:t>nn</w:t>
      </w:r>
      <w:proofErr w:type="spellEnd"/>
      <w:r w:rsidRPr="00961F65">
        <w:t xml:space="preserve"> n, the cost matrix has O(n2)O(n^2) O(n2) entries, each requiring one ETS/Theta fit — feasible for M3 series lengths (typically 60–150 observations).</w:t>
      </w:r>
    </w:p>
    <w:p w14:paraId="54B90180" w14:textId="77777777" w:rsidR="00961F65" w:rsidRPr="00961F65" w:rsidRDefault="00961F65" w:rsidP="00961F65">
      <w:r w:rsidRPr="00961F65">
        <w:t>The IP itself with a precomputed cost matrix is actually equivalent to a shortest-path problem on a DAG, solvable in O(n2)O(n^2) O(n2) by DP — though formulating it as an explicit IP gives you more flexibility to add constraints.</w:t>
      </w:r>
    </w:p>
    <w:p w14:paraId="587B7C6A" w14:textId="77777777" w:rsidR="00961F65" w:rsidRPr="00961F65" w:rsidRDefault="00961F65" w:rsidP="00961F65">
      <w:r w:rsidRPr="00961F65">
        <w:rPr>
          <w:b/>
          <w:bCs/>
        </w:rPr>
        <w:t>The interesting tension</w:t>
      </w:r>
    </w:p>
    <w:p w14:paraId="1460E473" w14:textId="77777777" w:rsidR="00961F65" w:rsidRPr="00961F65" w:rsidRDefault="00961F65" w:rsidP="00961F65">
      <w:r w:rsidRPr="00961F65">
        <w:t xml:space="preserve">Using forecast RMSE on the </w:t>
      </w:r>
      <w:r w:rsidRPr="00961F65">
        <w:rPr>
          <w:i/>
          <w:iCs/>
        </w:rPr>
        <w:t>holdout beyond the segment</w:t>
      </w:r>
      <w:r w:rsidRPr="00961F65">
        <w:t xml:space="preserve"> as cost means your changepoints are driven by where the model's predictive power breaks down — exactly what you want. But it introduces a subtle boundary effect: the last 6 points of each segment are never used for fitting, only for evaluation. With short segments this could be painful. A minimum segment length of maybe 12–18 observations seems necessary.</w:t>
      </w:r>
    </w:p>
    <w:p w14:paraId="6428BF81" w14:textId="77777777" w:rsidR="00961F65" w:rsidRPr="00961F65" w:rsidRDefault="00961F65" w:rsidP="00961F65">
      <w:r w:rsidRPr="00961F65">
        <w:rPr>
          <w:b/>
          <w:bCs/>
        </w:rPr>
        <w:t xml:space="preserve">ETS </w:t>
      </w:r>
      <w:proofErr w:type="spellStart"/>
      <w:r w:rsidRPr="00961F65">
        <w:rPr>
          <w:b/>
          <w:bCs/>
        </w:rPr>
        <w:t>xor</w:t>
      </w:r>
      <w:proofErr w:type="spellEnd"/>
      <w:r w:rsidRPr="00961F65">
        <w:rPr>
          <w:b/>
          <w:bCs/>
        </w:rPr>
        <w:t xml:space="preserve"> Theta</w:t>
      </w:r>
    </w:p>
    <w:p w14:paraId="0A47ACC1" w14:textId="77777777" w:rsidR="00961F65" w:rsidRPr="00961F65" w:rsidRDefault="00961F65" w:rsidP="00961F65">
      <w:r w:rsidRPr="00961F65">
        <w:t xml:space="preserve">Are you thinking of selecting one globally, or letting the IP choose per segment? The latter is more powerful — each segment gets assigned the better model — but doubles the cost matrix and adds a model-selection binary variable per segment. Still tractable, and potentially a stronger result: the segmentation reveals not just </w:t>
      </w:r>
      <w:r w:rsidRPr="00961F65">
        <w:rPr>
          <w:i/>
          <w:iCs/>
        </w:rPr>
        <w:t>where</w:t>
      </w:r>
      <w:r w:rsidRPr="00961F65">
        <w:t xml:space="preserve"> the DGP changes but </w:t>
      </w:r>
      <w:r w:rsidRPr="00961F65">
        <w:rPr>
          <w:i/>
          <w:iCs/>
        </w:rPr>
        <w:t>how</w:t>
      </w:r>
      <w:r w:rsidRPr="00961F65">
        <w:t xml:space="preserve"> (ETS-type vs Theta-type structure).</w:t>
      </w:r>
    </w:p>
    <w:p w14:paraId="7ABB295F" w14:textId="77777777" w:rsidR="00961F65" w:rsidRPr="00961F65" w:rsidRDefault="00961F65" w:rsidP="00961F65">
      <w:r w:rsidRPr="00961F65">
        <w:rPr>
          <w:b/>
          <w:bCs/>
        </w:rPr>
        <w:t>The open question I'd push on</w:t>
      </w:r>
    </w:p>
    <w:p w14:paraId="792F29BA" w14:textId="77777777" w:rsidR="00961F65" w:rsidRPr="00961F65" w:rsidRDefault="00961F65" w:rsidP="00961F65">
      <w:r w:rsidRPr="00961F65">
        <w:t xml:space="preserve">How do you handle the fact that ETS initialization depends on the first few observations of a segment? If a segment starts right after a changepoint, the initialization may be poor precisely where the new </w:t>
      </w:r>
      <w:r w:rsidRPr="00961F65">
        <w:lastRenderedPageBreak/>
        <w:t>DGP is most different from the old one — which could inflate cost and bias the breakpoint location. Worth thinking about whether you want a short burn-in window excluded from the RMSE calculation.</w:t>
      </w:r>
    </w:p>
    <w:p w14:paraId="239E81A0" w14:textId="77777777" w:rsidR="007552D2" w:rsidRPr="007552D2" w:rsidRDefault="007552D2" w:rsidP="007552D2">
      <w:r w:rsidRPr="007552D2">
        <w:rPr>
          <w:b/>
          <w:bCs/>
        </w:rPr>
        <w:t>Why Theta is more robust to initialization</w:t>
      </w:r>
    </w:p>
    <w:p w14:paraId="12DF9039" w14:textId="77777777" w:rsidR="007552D2" w:rsidRPr="007552D2" w:rsidRDefault="007552D2" w:rsidP="007552D2">
      <w:r w:rsidRPr="007552D2">
        <w:t>The Theta method in its standard form (</w:t>
      </w:r>
      <w:proofErr w:type="spellStart"/>
      <w:r w:rsidRPr="007552D2">
        <w:t>Assimakopoulos</w:t>
      </w:r>
      <w:proofErr w:type="spellEnd"/>
      <w:r w:rsidRPr="007552D2">
        <w:t xml:space="preserve"> &amp; Nikolopoulos 2000, as clarified by Hyndman &amp; </w:t>
      </w:r>
      <w:proofErr w:type="spellStart"/>
      <w:r w:rsidRPr="007552D2">
        <w:t>Billah</w:t>
      </w:r>
      <w:proofErr w:type="spellEnd"/>
      <w:r w:rsidRPr="007552D2">
        <w:t xml:space="preserve"> 2003) decomposes the series into theta lines and forecasts the trend component via simple linear regression on time, and the short-run component via SES. Crucially:</w:t>
      </w:r>
    </w:p>
    <w:p w14:paraId="25AC9DEB" w14:textId="77777777" w:rsidR="007552D2" w:rsidRPr="007552D2" w:rsidRDefault="007552D2" w:rsidP="007552D2">
      <w:pPr>
        <w:numPr>
          <w:ilvl w:val="0"/>
          <w:numId w:val="3"/>
        </w:numPr>
      </w:pPr>
      <w:r w:rsidRPr="007552D2">
        <w:t xml:space="preserve">The linear regression component has a </w:t>
      </w:r>
      <w:r w:rsidRPr="007552D2">
        <w:rPr>
          <w:b/>
          <w:bCs/>
        </w:rPr>
        <w:t>closed-form OLS solution</w:t>
      </w:r>
      <w:r w:rsidRPr="007552D2">
        <w:t xml:space="preserve"> — no recursive state initialization, no warm-up sensitivity</w:t>
      </w:r>
    </w:p>
    <w:p w14:paraId="6A331796" w14:textId="77777777" w:rsidR="007552D2" w:rsidRPr="007552D2" w:rsidRDefault="007552D2" w:rsidP="007552D2">
      <w:pPr>
        <w:numPr>
          <w:ilvl w:val="0"/>
          <w:numId w:val="3"/>
        </w:numPr>
      </w:pPr>
      <w:r w:rsidRPr="007552D2">
        <w:t xml:space="preserve">The SES component is sensitive to initialization, but SES is far less sensitive than full Holt-Winters because it has only </w:t>
      </w:r>
      <w:r w:rsidRPr="007552D2">
        <w:rPr>
          <w:b/>
          <w:bCs/>
        </w:rPr>
        <w:t>one latent state</w:t>
      </w:r>
      <w:r w:rsidRPr="007552D2">
        <w:t xml:space="preserve"> (the level) versus three (level, trend, seasonal)</w:t>
      </w:r>
    </w:p>
    <w:p w14:paraId="451CBFD1" w14:textId="77777777" w:rsidR="007552D2" w:rsidRPr="007552D2" w:rsidRDefault="007552D2" w:rsidP="007552D2">
      <w:pPr>
        <w:numPr>
          <w:ilvl w:val="0"/>
          <w:numId w:val="3"/>
        </w:numPr>
      </w:pPr>
      <w:r w:rsidRPr="007552D2">
        <w:t>The final forecast is a combination, so the SES initialization error is dampened by the regression component's stability</w:t>
      </w:r>
    </w:p>
    <w:p w14:paraId="407FF28E" w14:textId="13D20F8F" w:rsidR="00914467" w:rsidRDefault="00976DA9">
      <w:r w:rsidRPr="00976DA9">
        <w:t>Theta wins on initialization robustness, ETS wins on seasonal expressiveness. For your segmentation cost function, Theta is probably the safer choice — especially for shorter segments near boundaries.</w:t>
      </w:r>
    </w:p>
    <w:p w14:paraId="41170CF5" w14:textId="7D3B6781" w:rsidR="00976DA9" w:rsidRDefault="00EF46AB">
      <w:r w:rsidRPr="00EF46AB">
        <w:t xml:space="preserve">The most defensible design for a paper is probably: STL on the full series with a robustness check showing seasonal components are stable (e.g., plot </w:t>
      </w:r>
      <w:proofErr w:type="spellStart"/>
      <w:r w:rsidRPr="00EF46AB">
        <w:t>StS_t</w:t>
      </w:r>
      <w:proofErr w:type="spellEnd"/>
      <w:r w:rsidRPr="00EF46AB">
        <w:t xml:space="preserve"> St</w:t>
      </w:r>
      <w:r w:rsidRPr="00EF46AB">
        <w:rPr>
          <w:rFonts w:ascii="Arial" w:hAnsi="Arial" w:cs="Arial"/>
        </w:rPr>
        <w:t>​</w:t>
      </w:r>
      <w:r w:rsidRPr="00EF46AB">
        <w:t xml:space="preserve"> across time, verify amplitude and phase don't drift), then proceed with </w:t>
      </w:r>
      <w:proofErr w:type="spellStart"/>
      <w:r w:rsidRPr="00EF46AB">
        <w:t>deseasoned</w:t>
      </w:r>
      <w:proofErr w:type="spellEnd"/>
      <w:r w:rsidRPr="00EF46AB">
        <w:t xml:space="preserve"> segmentation and note the reconstruction assumption explicitly. That turns the limitation into a controlled, documented choice rather than a hidden fragility.</w:t>
      </w:r>
    </w:p>
    <w:p w14:paraId="00271501" w14:textId="77777777" w:rsidR="001653CD" w:rsidRPr="001653CD" w:rsidRDefault="001653CD" w:rsidP="001653CD">
      <w:r w:rsidRPr="001653CD">
        <w:rPr>
          <w:b/>
          <w:bCs/>
        </w:rPr>
        <w:t>The practical implication for your design</w:t>
      </w:r>
    </w:p>
    <w:p w14:paraId="765D693A" w14:textId="77777777" w:rsidR="001653CD" w:rsidRPr="001653CD" w:rsidRDefault="001653CD" w:rsidP="001653CD">
      <w:r w:rsidRPr="001653CD">
        <w:t>Since both ETS and Theta ultimately rely on seasonal tiling for multi-step forecasts, and since you're assuming stable seasonality anyway, the cleanest consistent design is:</w:t>
      </w:r>
    </w:p>
    <w:p w14:paraId="789ADA2B" w14:textId="77777777" w:rsidR="001653CD" w:rsidRPr="001653CD" w:rsidRDefault="001653CD" w:rsidP="001653CD">
      <w:pPr>
        <w:numPr>
          <w:ilvl w:val="0"/>
          <w:numId w:val="4"/>
        </w:numPr>
      </w:pPr>
      <w:proofErr w:type="spellStart"/>
      <w:r w:rsidRPr="001653CD">
        <w:t>Deseasonalize</w:t>
      </w:r>
      <w:proofErr w:type="spellEnd"/>
      <w:r w:rsidRPr="001653CD">
        <w:t xml:space="preserve"> once with STL globally</w:t>
      </w:r>
    </w:p>
    <w:p w14:paraId="67B094D6" w14:textId="77777777" w:rsidR="001653CD" w:rsidRPr="001653CD" w:rsidRDefault="001653CD" w:rsidP="001653CD">
      <w:pPr>
        <w:numPr>
          <w:ilvl w:val="0"/>
          <w:numId w:val="4"/>
        </w:numPr>
      </w:pPr>
      <w:r w:rsidRPr="001653CD">
        <w:t xml:space="preserve">Disable internal </w:t>
      </w:r>
      <w:proofErr w:type="spellStart"/>
      <w:r w:rsidRPr="001653CD">
        <w:t>deseasonalization</w:t>
      </w:r>
      <w:proofErr w:type="spellEnd"/>
      <w:r w:rsidRPr="001653CD">
        <w:t xml:space="preserve"> in Theta (or use ETS(A,N,N))</w:t>
      </w:r>
    </w:p>
    <w:p w14:paraId="7C4AC143" w14:textId="77777777" w:rsidR="001653CD" w:rsidRPr="001653CD" w:rsidRDefault="001653CD" w:rsidP="001653CD">
      <w:pPr>
        <w:numPr>
          <w:ilvl w:val="0"/>
          <w:numId w:val="4"/>
        </w:numPr>
      </w:pPr>
      <w:r w:rsidRPr="001653CD">
        <w:t>Segment and forecast on the remainder</w:t>
      </w:r>
    </w:p>
    <w:p w14:paraId="5AE51A47" w14:textId="77777777" w:rsidR="001653CD" w:rsidRPr="001653CD" w:rsidRDefault="001653CD" w:rsidP="001653CD">
      <w:pPr>
        <w:numPr>
          <w:ilvl w:val="0"/>
          <w:numId w:val="4"/>
        </w:numPr>
      </w:pPr>
      <w:r w:rsidRPr="001653CD">
        <w:t>Reattach STL seasonal for final reconstruction</w:t>
      </w:r>
    </w:p>
    <w:p w14:paraId="222E0836" w14:textId="77777777" w:rsidR="001653CD" w:rsidRPr="001653CD" w:rsidRDefault="001653CD" w:rsidP="001653CD">
      <w:r w:rsidRPr="001653CD">
        <w:t xml:space="preserve">This way you have one seasonal estimate, one decomposition, and full transparency over what the cost matrix is actually measuring. The alternative — letting each model handle seasonality internally — introduces model-specific seasonal estimates that aren't comparable across segments, which would contaminate your cost matrix comparisons if you're considering ETS </w:t>
      </w:r>
      <w:proofErr w:type="spellStart"/>
      <w:r w:rsidRPr="001653CD">
        <w:t>xor</w:t>
      </w:r>
      <w:proofErr w:type="spellEnd"/>
      <w:r w:rsidRPr="001653CD">
        <w:t xml:space="preserve"> Theta per segment.</w:t>
      </w:r>
    </w:p>
    <w:p w14:paraId="38C665AE" w14:textId="77777777" w:rsidR="00F47A42" w:rsidRPr="00F47A42" w:rsidRDefault="00F47A42" w:rsidP="00F47A42">
      <w:r w:rsidRPr="00F47A42">
        <w:rPr>
          <w:b/>
          <w:bCs/>
        </w:rPr>
        <w:t xml:space="preserve">ETS as a </w:t>
      </w:r>
      <w:proofErr w:type="spellStart"/>
      <w:r w:rsidRPr="00F47A42">
        <w:rPr>
          <w:b/>
          <w:bCs/>
        </w:rPr>
        <w:t>fully fledged</w:t>
      </w:r>
      <w:proofErr w:type="spellEnd"/>
      <w:r w:rsidRPr="00F47A42">
        <w:rPr>
          <w:b/>
          <w:bCs/>
        </w:rPr>
        <w:t xml:space="preserve"> model</w:t>
      </w:r>
    </w:p>
    <w:p w14:paraId="2E378387" w14:textId="77777777" w:rsidR="00F47A42" w:rsidRPr="00F47A42" w:rsidRDefault="00F47A42" w:rsidP="00F47A42">
      <w:r w:rsidRPr="00F47A42">
        <w:t>ETS is a proper statistical model in every sense:</w:t>
      </w:r>
    </w:p>
    <w:p w14:paraId="22BD982E" w14:textId="77777777" w:rsidR="00F47A42" w:rsidRPr="00F47A42" w:rsidRDefault="00F47A42" w:rsidP="00F47A42">
      <w:pPr>
        <w:numPr>
          <w:ilvl w:val="0"/>
          <w:numId w:val="5"/>
        </w:numPr>
      </w:pPr>
      <w:r w:rsidRPr="00F47A42">
        <w:t>It has a state-space representation with an explicit likelihood</w:t>
      </w:r>
    </w:p>
    <w:p w14:paraId="5E83D0C9" w14:textId="77777777" w:rsidR="00F47A42" w:rsidRPr="00F47A42" w:rsidRDefault="00F47A42" w:rsidP="00F47A42">
      <w:pPr>
        <w:numPr>
          <w:ilvl w:val="0"/>
          <w:numId w:val="5"/>
        </w:numPr>
      </w:pPr>
      <w:r w:rsidRPr="00F47A42">
        <w:t>Parameters are estimated by maximum likelihood</w:t>
      </w:r>
    </w:p>
    <w:p w14:paraId="01ED9214" w14:textId="77777777" w:rsidR="00F47A42" w:rsidRPr="00F47A42" w:rsidRDefault="00F47A42" w:rsidP="00F47A42">
      <w:pPr>
        <w:numPr>
          <w:ilvl w:val="0"/>
          <w:numId w:val="5"/>
        </w:numPr>
      </w:pPr>
      <w:r w:rsidRPr="00F47A42">
        <w:t>It generates a full forecast distribution, not just point forecasts</w:t>
      </w:r>
    </w:p>
    <w:p w14:paraId="1209C1B1" w14:textId="77777777" w:rsidR="00F47A42" w:rsidRPr="00F47A42" w:rsidRDefault="00F47A42" w:rsidP="00F47A42">
      <w:pPr>
        <w:numPr>
          <w:ilvl w:val="0"/>
          <w:numId w:val="5"/>
        </w:numPr>
      </w:pPr>
      <w:r w:rsidRPr="00F47A42">
        <w:t>Prediction intervals are analytically derived from the model structure</w:t>
      </w:r>
    </w:p>
    <w:p w14:paraId="1B584E2A" w14:textId="77777777" w:rsidR="00F47A42" w:rsidRPr="00F47A42" w:rsidRDefault="00F47A42" w:rsidP="00F47A42">
      <w:pPr>
        <w:numPr>
          <w:ilvl w:val="0"/>
          <w:numId w:val="5"/>
        </w:numPr>
      </w:pPr>
      <w:r w:rsidRPr="00F47A42">
        <w:t>It nests many classical methods (SES, Holt, Holt-Winters) as special cases</w:t>
      </w:r>
    </w:p>
    <w:p w14:paraId="25BB67D8" w14:textId="77777777" w:rsidR="00F47A42" w:rsidRPr="00F47A42" w:rsidRDefault="00F47A42" w:rsidP="00F47A42">
      <w:r w:rsidRPr="00F47A42">
        <w:lastRenderedPageBreak/>
        <w:t>In that sense it is absolutely at the level of SARIMA. The Hyndman et al. (2002, 2008) framework put ETS on exactly the same epistemological footing as Box-Jenkins — a model family with principled estimation, selection criteria (AIC), and probabilistic forecasts.</w:t>
      </w:r>
    </w:p>
    <w:p w14:paraId="0B5FDCA1" w14:textId="77777777" w:rsidR="00CA24A8" w:rsidRPr="00CA24A8" w:rsidRDefault="00CA24A8" w:rsidP="00CA24A8">
      <w:r w:rsidRPr="00CA24A8">
        <w:rPr>
          <w:b/>
          <w:bCs/>
        </w:rPr>
        <w:t>Theta's ambiguous status</w:t>
      </w:r>
    </w:p>
    <w:p w14:paraId="779FB326" w14:textId="77777777" w:rsidR="00CA24A8" w:rsidRPr="00CA24A8" w:rsidRDefault="00CA24A8" w:rsidP="00CA24A8">
      <w:r w:rsidRPr="00CA24A8">
        <w:t>In its original 2000 formulation, Theta was presented algorithmically — decompose, fit two theta lines, combine forecasts. No likelihood, no probabilistic framework, no formal notion of a DGP. In that sense it looked more like a procedure than a model.</w:t>
      </w:r>
    </w:p>
    <w:p w14:paraId="44A8AE84" w14:textId="77777777" w:rsidR="00CA24A8" w:rsidRPr="00CA24A8" w:rsidRDefault="00CA24A8" w:rsidP="00CA24A8">
      <w:r w:rsidRPr="00CA24A8">
        <w:rPr>
          <w:b/>
          <w:bCs/>
        </w:rPr>
        <w:t xml:space="preserve">Hyndman &amp; </w:t>
      </w:r>
      <w:proofErr w:type="spellStart"/>
      <w:r w:rsidRPr="00CA24A8">
        <w:rPr>
          <w:b/>
          <w:bCs/>
        </w:rPr>
        <w:t>Billah</w:t>
      </w:r>
      <w:proofErr w:type="spellEnd"/>
      <w:r w:rsidRPr="00CA24A8">
        <w:rPr>
          <w:b/>
          <w:bCs/>
        </w:rPr>
        <w:t xml:space="preserve"> (2003) changed that</w:t>
      </w:r>
    </w:p>
    <w:p w14:paraId="163BE595" w14:textId="77777777" w:rsidR="00CA24A8" w:rsidRPr="00CA24A8" w:rsidRDefault="00CA24A8" w:rsidP="00CA24A8">
      <w:r w:rsidRPr="00CA24A8">
        <w:t xml:space="preserve">They showed that the standard Theta method (with θ=0 and θ=2) is equivalent to SES with drift — which </w:t>
      </w:r>
      <w:r w:rsidRPr="00CA24A8">
        <w:rPr>
          <w:i/>
          <w:iCs/>
        </w:rPr>
        <w:t>is</w:t>
      </w:r>
      <w:r w:rsidRPr="00CA24A8">
        <w:t xml:space="preserve"> a proper state-space model with a likelihood. This equivalence essentially retrofitted Theta with model status: you can estimate its parameter by MLE, derive prediction intervals, and interpret it within the ETS family. Specifically it maps to a restricted ETS(A,N,N) with a drift term.</w:t>
      </w:r>
    </w:p>
    <w:p w14:paraId="12E340A0" w14:textId="77777777" w:rsidR="00CA24A8" w:rsidRPr="00CA24A8" w:rsidRDefault="00CA24A8" w:rsidP="00CA24A8">
      <w:r w:rsidRPr="00CA24A8">
        <w:rPr>
          <w:b/>
          <w:bCs/>
        </w:rPr>
        <w:t>So the honest answer</w:t>
      </w:r>
    </w:p>
    <w:p w14:paraId="3332F625" w14:textId="77777777" w:rsidR="00CA24A8" w:rsidRPr="00CA24A8" w:rsidRDefault="00CA24A8" w:rsidP="00CA24A8">
      <w:r w:rsidRPr="00CA24A8">
        <w:t>Theta occupies an interesting middle ground historically — born as an algorithm, later revealed to be a model in disguise. In your research context you can legitimately treat it as a model, with the caveat that its probabilistic foundations are thinner and less general than ETS. ETS has a full family of error/trend/seasonality combinations with explicit likelihoods; Theta is essentially one specific restricted member of that family, arrived at from a different direction.</w:t>
      </w:r>
    </w:p>
    <w:p w14:paraId="4519AFE0" w14:textId="77777777" w:rsidR="00CA24A8" w:rsidRPr="00CA24A8" w:rsidRDefault="00CA24A8" w:rsidP="00CA24A8">
      <w:r w:rsidRPr="00CA24A8">
        <w:t xml:space="preserve">For your cost function and IP formulation this doesn't matter much practically — what counts is that both produce point forecasts you can evaluate with RMSE. But if a reviewer asks why you treat Theta as a model-based segmentation criterion, the Hyndman &amp; </w:t>
      </w:r>
      <w:proofErr w:type="spellStart"/>
      <w:r w:rsidRPr="00CA24A8">
        <w:t>Billah</w:t>
      </w:r>
      <w:proofErr w:type="spellEnd"/>
      <w:r w:rsidRPr="00CA24A8">
        <w:t xml:space="preserve"> equivalence is your justification.</w:t>
      </w:r>
    </w:p>
    <w:p w14:paraId="5E668D7F" w14:textId="77777777" w:rsidR="00EF46AB" w:rsidRDefault="00EF46AB"/>
    <w:p w14:paraId="32976B60" w14:textId="77777777" w:rsidR="001653CD" w:rsidRDefault="001653CD"/>
    <w:sectPr w:rsidR="001653CD" w:rsidSect="002919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D3940"/>
    <w:multiLevelType w:val="multilevel"/>
    <w:tmpl w:val="0398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5617E"/>
    <w:multiLevelType w:val="multilevel"/>
    <w:tmpl w:val="EE36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85070"/>
    <w:multiLevelType w:val="multilevel"/>
    <w:tmpl w:val="553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303A1"/>
    <w:multiLevelType w:val="multilevel"/>
    <w:tmpl w:val="C9D4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72429"/>
    <w:multiLevelType w:val="multilevel"/>
    <w:tmpl w:val="0A44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686011">
    <w:abstractNumId w:val="2"/>
  </w:num>
  <w:num w:numId="2" w16cid:durableId="1464155840">
    <w:abstractNumId w:val="4"/>
  </w:num>
  <w:num w:numId="3" w16cid:durableId="412704701">
    <w:abstractNumId w:val="0"/>
  </w:num>
  <w:num w:numId="4" w16cid:durableId="921989263">
    <w:abstractNumId w:val="3"/>
  </w:num>
  <w:num w:numId="5" w16cid:durableId="619065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F1"/>
    <w:rsid w:val="000806F1"/>
    <w:rsid w:val="001653CD"/>
    <w:rsid w:val="001A014F"/>
    <w:rsid w:val="00271267"/>
    <w:rsid w:val="00291911"/>
    <w:rsid w:val="00570B0E"/>
    <w:rsid w:val="005B4268"/>
    <w:rsid w:val="007552D2"/>
    <w:rsid w:val="007A58E9"/>
    <w:rsid w:val="00911C04"/>
    <w:rsid w:val="00914467"/>
    <w:rsid w:val="00961F65"/>
    <w:rsid w:val="00976DA9"/>
    <w:rsid w:val="00A62DB3"/>
    <w:rsid w:val="00A675D5"/>
    <w:rsid w:val="00AB384A"/>
    <w:rsid w:val="00BF611F"/>
    <w:rsid w:val="00C406DC"/>
    <w:rsid w:val="00CA24A8"/>
    <w:rsid w:val="00CA69E1"/>
    <w:rsid w:val="00CF0D1D"/>
    <w:rsid w:val="00D0418C"/>
    <w:rsid w:val="00DA358E"/>
    <w:rsid w:val="00DE27ED"/>
    <w:rsid w:val="00E41E0B"/>
    <w:rsid w:val="00EA7E89"/>
    <w:rsid w:val="00EB64FE"/>
    <w:rsid w:val="00EF46AB"/>
    <w:rsid w:val="00F1008D"/>
    <w:rsid w:val="00F47A4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6588"/>
  <w15:chartTrackingRefBased/>
  <w15:docId w15:val="{D24D8D9B-D1E8-4523-BBA2-8BABACE1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570B0E"/>
    <w:pPr>
      <w:keepNext/>
      <w:spacing w:before="240" w:after="60" w:line="240" w:lineRule="auto"/>
      <w:jc w:val="both"/>
      <w:outlineLvl w:val="0"/>
    </w:pPr>
    <w:rPr>
      <w:rFonts w:ascii="Aptos" w:hAnsi="Aptos"/>
      <w:b/>
      <w:kern w:val="28"/>
      <w:sz w:val="24"/>
      <w:lang w:val="it-IT" w:eastAsia="it-IT"/>
    </w:rPr>
  </w:style>
  <w:style w:type="paragraph" w:styleId="Heading2">
    <w:name w:val="heading 2"/>
    <w:basedOn w:val="Normal"/>
    <w:next w:val="Normal"/>
    <w:link w:val="Heading2Char"/>
    <w:uiPriority w:val="9"/>
    <w:semiHidden/>
    <w:unhideWhenUsed/>
    <w:qFormat/>
    <w:rsid w:val="00080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0B0E"/>
    <w:rPr>
      <w:rFonts w:ascii="Aptos" w:hAnsi="Aptos"/>
      <w:b/>
      <w:kern w:val="28"/>
      <w:sz w:val="24"/>
      <w:lang w:val="it-IT" w:eastAsia="it-IT"/>
    </w:rPr>
  </w:style>
  <w:style w:type="character" w:customStyle="1" w:styleId="Heading2Char">
    <w:name w:val="Heading 2 Char"/>
    <w:basedOn w:val="DefaultParagraphFont"/>
    <w:link w:val="Heading2"/>
    <w:uiPriority w:val="9"/>
    <w:semiHidden/>
    <w:rsid w:val="00080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F1"/>
    <w:rPr>
      <w:rFonts w:eastAsiaTheme="majorEastAsia" w:cstheme="majorBidi"/>
      <w:color w:val="272727" w:themeColor="text1" w:themeTint="D8"/>
    </w:rPr>
  </w:style>
  <w:style w:type="paragraph" w:styleId="Title">
    <w:name w:val="Title"/>
    <w:basedOn w:val="Normal"/>
    <w:next w:val="Normal"/>
    <w:link w:val="TitleChar"/>
    <w:uiPriority w:val="10"/>
    <w:qFormat/>
    <w:rsid w:val="00080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F1"/>
    <w:pPr>
      <w:spacing w:before="160"/>
      <w:jc w:val="center"/>
    </w:pPr>
    <w:rPr>
      <w:i/>
      <w:iCs/>
      <w:color w:val="404040" w:themeColor="text1" w:themeTint="BF"/>
    </w:rPr>
  </w:style>
  <w:style w:type="character" w:customStyle="1" w:styleId="QuoteChar">
    <w:name w:val="Quote Char"/>
    <w:basedOn w:val="DefaultParagraphFont"/>
    <w:link w:val="Quote"/>
    <w:uiPriority w:val="29"/>
    <w:rsid w:val="000806F1"/>
    <w:rPr>
      <w:i/>
      <w:iCs/>
      <w:color w:val="404040" w:themeColor="text1" w:themeTint="BF"/>
    </w:rPr>
  </w:style>
  <w:style w:type="paragraph" w:styleId="ListParagraph">
    <w:name w:val="List Paragraph"/>
    <w:basedOn w:val="Normal"/>
    <w:uiPriority w:val="34"/>
    <w:qFormat/>
    <w:rsid w:val="000806F1"/>
    <w:pPr>
      <w:ind w:left="720"/>
      <w:contextualSpacing/>
    </w:pPr>
  </w:style>
  <w:style w:type="character" w:styleId="IntenseEmphasis">
    <w:name w:val="Intense Emphasis"/>
    <w:basedOn w:val="DefaultParagraphFont"/>
    <w:uiPriority w:val="21"/>
    <w:qFormat/>
    <w:rsid w:val="000806F1"/>
    <w:rPr>
      <w:i/>
      <w:iCs/>
      <w:color w:val="0F4761" w:themeColor="accent1" w:themeShade="BF"/>
    </w:rPr>
  </w:style>
  <w:style w:type="paragraph" w:styleId="IntenseQuote">
    <w:name w:val="Intense Quote"/>
    <w:basedOn w:val="Normal"/>
    <w:next w:val="Normal"/>
    <w:link w:val="IntenseQuoteChar"/>
    <w:uiPriority w:val="30"/>
    <w:qFormat/>
    <w:rsid w:val="0008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F1"/>
    <w:rPr>
      <w:i/>
      <w:iCs/>
      <w:color w:val="0F4761" w:themeColor="accent1" w:themeShade="BF"/>
    </w:rPr>
  </w:style>
  <w:style w:type="character" w:styleId="IntenseReference">
    <w:name w:val="Intense Reference"/>
    <w:basedOn w:val="DefaultParagraphFont"/>
    <w:uiPriority w:val="32"/>
    <w:qFormat/>
    <w:rsid w:val="000806F1"/>
    <w:rPr>
      <w:b/>
      <w:bCs/>
      <w:smallCaps/>
      <w:color w:val="0F4761" w:themeColor="accent1" w:themeShade="BF"/>
      <w:spacing w:val="5"/>
    </w:rPr>
  </w:style>
  <w:style w:type="character" w:styleId="Hyperlink">
    <w:name w:val="Hyperlink"/>
    <w:basedOn w:val="DefaultParagraphFont"/>
    <w:uiPriority w:val="99"/>
    <w:unhideWhenUsed/>
    <w:rsid w:val="000806F1"/>
    <w:rPr>
      <w:color w:val="467886" w:themeColor="hyperlink"/>
      <w:u w:val="single"/>
    </w:rPr>
  </w:style>
  <w:style w:type="character" w:styleId="UnresolvedMention">
    <w:name w:val="Unresolved Mention"/>
    <w:basedOn w:val="DefaultParagraphFont"/>
    <w:uiPriority w:val="99"/>
    <w:semiHidden/>
    <w:unhideWhenUsed/>
    <w:rsid w:val="00080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1019">
      <w:bodyDiv w:val="1"/>
      <w:marLeft w:val="0"/>
      <w:marRight w:val="0"/>
      <w:marTop w:val="0"/>
      <w:marBottom w:val="0"/>
      <w:divBdr>
        <w:top w:val="none" w:sz="0" w:space="0" w:color="auto"/>
        <w:left w:val="none" w:sz="0" w:space="0" w:color="auto"/>
        <w:bottom w:val="none" w:sz="0" w:space="0" w:color="auto"/>
        <w:right w:val="none" w:sz="0" w:space="0" w:color="auto"/>
      </w:divBdr>
    </w:div>
    <w:div w:id="168563733">
      <w:bodyDiv w:val="1"/>
      <w:marLeft w:val="0"/>
      <w:marRight w:val="0"/>
      <w:marTop w:val="0"/>
      <w:marBottom w:val="0"/>
      <w:divBdr>
        <w:top w:val="none" w:sz="0" w:space="0" w:color="auto"/>
        <w:left w:val="none" w:sz="0" w:space="0" w:color="auto"/>
        <w:bottom w:val="none" w:sz="0" w:space="0" w:color="auto"/>
        <w:right w:val="none" w:sz="0" w:space="0" w:color="auto"/>
      </w:divBdr>
    </w:div>
    <w:div w:id="466316566">
      <w:bodyDiv w:val="1"/>
      <w:marLeft w:val="0"/>
      <w:marRight w:val="0"/>
      <w:marTop w:val="0"/>
      <w:marBottom w:val="0"/>
      <w:divBdr>
        <w:top w:val="none" w:sz="0" w:space="0" w:color="auto"/>
        <w:left w:val="none" w:sz="0" w:space="0" w:color="auto"/>
        <w:bottom w:val="none" w:sz="0" w:space="0" w:color="auto"/>
        <w:right w:val="none" w:sz="0" w:space="0" w:color="auto"/>
      </w:divBdr>
    </w:div>
    <w:div w:id="505099785">
      <w:bodyDiv w:val="1"/>
      <w:marLeft w:val="0"/>
      <w:marRight w:val="0"/>
      <w:marTop w:val="0"/>
      <w:marBottom w:val="0"/>
      <w:divBdr>
        <w:top w:val="none" w:sz="0" w:space="0" w:color="auto"/>
        <w:left w:val="none" w:sz="0" w:space="0" w:color="auto"/>
        <w:bottom w:val="none" w:sz="0" w:space="0" w:color="auto"/>
        <w:right w:val="none" w:sz="0" w:space="0" w:color="auto"/>
      </w:divBdr>
    </w:div>
    <w:div w:id="624192281">
      <w:bodyDiv w:val="1"/>
      <w:marLeft w:val="0"/>
      <w:marRight w:val="0"/>
      <w:marTop w:val="0"/>
      <w:marBottom w:val="0"/>
      <w:divBdr>
        <w:top w:val="none" w:sz="0" w:space="0" w:color="auto"/>
        <w:left w:val="none" w:sz="0" w:space="0" w:color="auto"/>
        <w:bottom w:val="none" w:sz="0" w:space="0" w:color="auto"/>
        <w:right w:val="none" w:sz="0" w:space="0" w:color="auto"/>
      </w:divBdr>
    </w:div>
    <w:div w:id="972323619">
      <w:bodyDiv w:val="1"/>
      <w:marLeft w:val="0"/>
      <w:marRight w:val="0"/>
      <w:marTop w:val="0"/>
      <w:marBottom w:val="0"/>
      <w:divBdr>
        <w:top w:val="none" w:sz="0" w:space="0" w:color="auto"/>
        <w:left w:val="none" w:sz="0" w:space="0" w:color="auto"/>
        <w:bottom w:val="none" w:sz="0" w:space="0" w:color="auto"/>
        <w:right w:val="none" w:sz="0" w:space="0" w:color="auto"/>
      </w:divBdr>
    </w:div>
    <w:div w:id="999230219">
      <w:bodyDiv w:val="1"/>
      <w:marLeft w:val="0"/>
      <w:marRight w:val="0"/>
      <w:marTop w:val="0"/>
      <w:marBottom w:val="0"/>
      <w:divBdr>
        <w:top w:val="none" w:sz="0" w:space="0" w:color="auto"/>
        <w:left w:val="none" w:sz="0" w:space="0" w:color="auto"/>
        <w:bottom w:val="none" w:sz="0" w:space="0" w:color="auto"/>
        <w:right w:val="none" w:sz="0" w:space="0" w:color="auto"/>
      </w:divBdr>
    </w:div>
    <w:div w:id="1193960214">
      <w:bodyDiv w:val="1"/>
      <w:marLeft w:val="0"/>
      <w:marRight w:val="0"/>
      <w:marTop w:val="0"/>
      <w:marBottom w:val="0"/>
      <w:divBdr>
        <w:top w:val="none" w:sz="0" w:space="0" w:color="auto"/>
        <w:left w:val="none" w:sz="0" w:space="0" w:color="auto"/>
        <w:bottom w:val="none" w:sz="0" w:space="0" w:color="auto"/>
        <w:right w:val="none" w:sz="0" w:space="0" w:color="auto"/>
      </w:divBdr>
    </w:div>
    <w:div w:id="1221017711">
      <w:bodyDiv w:val="1"/>
      <w:marLeft w:val="0"/>
      <w:marRight w:val="0"/>
      <w:marTop w:val="0"/>
      <w:marBottom w:val="0"/>
      <w:divBdr>
        <w:top w:val="none" w:sz="0" w:space="0" w:color="auto"/>
        <w:left w:val="none" w:sz="0" w:space="0" w:color="auto"/>
        <w:bottom w:val="none" w:sz="0" w:space="0" w:color="auto"/>
        <w:right w:val="none" w:sz="0" w:space="0" w:color="auto"/>
      </w:divBdr>
    </w:div>
    <w:div w:id="1252470227">
      <w:bodyDiv w:val="1"/>
      <w:marLeft w:val="0"/>
      <w:marRight w:val="0"/>
      <w:marTop w:val="0"/>
      <w:marBottom w:val="0"/>
      <w:divBdr>
        <w:top w:val="none" w:sz="0" w:space="0" w:color="auto"/>
        <w:left w:val="none" w:sz="0" w:space="0" w:color="auto"/>
        <w:bottom w:val="none" w:sz="0" w:space="0" w:color="auto"/>
        <w:right w:val="none" w:sz="0" w:space="0" w:color="auto"/>
      </w:divBdr>
    </w:div>
    <w:div w:id="1279221333">
      <w:bodyDiv w:val="1"/>
      <w:marLeft w:val="0"/>
      <w:marRight w:val="0"/>
      <w:marTop w:val="0"/>
      <w:marBottom w:val="0"/>
      <w:divBdr>
        <w:top w:val="none" w:sz="0" w:space="0" w:color="auto"/>
        <w:left w:val="none" w:sz="0" w:space="0" w:color="auto"/>
        <w:bottom w:val="none" w:sz="0" w:space="0" w:color="auto"/>
        <w:right w:val="none" w:sz="0" w:space="0" w:color="auto"/>
      </w:divBdr>
    </w:div>
    <w:div w:id="1574389214">
      <w:bodyDiv w:val="1"/>
      <w:marLeft w:val="0"/>
      <w:marRight w:val="0"/>
      <w:marTop w:val="0"/>
      <w:marBottom w:val="0"/>
      <w:divBdr>
        <w:top w:val="none" w:sz="0" w:space="0" w:color="auto"/>
        <w:left w:val="none" w:sz="0" w:space="0" w:color="auto"/>
        <w:bottom w:val="none" w:sz="0" w:space="0" w:color="auto"/>
        <w:right w:val="none" w:sz="0" w:space="0" w:color="auto"/>
      </w:divBdr>
    </w:div>
    <w:div w:id="1694307993">
      <w:bodyDiv w:val="1"/>
      <w:marLeft w:val="0"/>
      <w:marRight w:val="0"/>
      <w:marTop w:val="0"/>
      <w:marBottom w:val="0"/>
      <w:divBdr>
        <w:top w:val="none" w:sz="0" w:space="0" w:color="auto"/>
        <w:left w:val="none" w:sz="0" w:space="0" w:color="auto"/>
        <w:bottom w:val="none" w:sz="0" w:space="0" w:color="auto"/>
        <w:right w:val="none" w:sz="0" w:space="0" w:color="auto"/>
      </w:divBdr>
    </w:div>
    <w:div w:id="1741126348">
      <w:bodyDiv w:val="1"/>
      <w:marLeft w:val="0"/>
      <w:marRight w:val="0"/>
      <w:marTop w:val="0"/>
      <w:marBottom w:val="0"/>
      <w:divBdr>
        <w:top w:val="none" w:sz="0" w:space="0" w:color="auto"/>
        <w:left w:val="none" w:sz="0" w:space="0" w:color="auto"/>
        <w:bottom w:val="none" w:sz="0" w:space="0" w:color="auto"/>
        <w:right w:val="none" w:sz="0" w:space="0" w:color="auto"/>
      </w:divBdr>
    </w:div>
    <w:div w:id="1796098151">
      <w:bodyDiv w:val="1"/>
      <w:marLeft w:val="0"/>
      <w:marRight w:val="0"/>
      <w:marTop w:val="0"/>
      <w:marBottom w:val="0"/>
      <w:divBdr>
        <w:top w:val="none" w:sz="0" w:space="0" w:color="auto"/>
        <w:left w:val="none" w:sz="0" w:space="0" w:color="auto"/>
        <w:bottom w:val="none" w:sz="0" w:space="0" w:color="auto"/>
        <w:right w:val="none" w:sz="0" w:space="0" w:color="auto"/>
      </w:divBdr>
    </w:div>
    <w:div w:id="1861776565">
      <w:bodyDiv w:val="1"/>
      <w:marLeft w:val="0"/>
      <w:marRight w:val="0"/>
      <w:marTop w:val="0"/>
      <w:marBottom w:val="0"/>
      <w:divBdr>
        <w:top w:val="none" w:sz="0" w:space="0" w:color="auto"/>
        <w:left w:val="none" w:sz="0" w:space="0" w:color="auto"/>
        <w:bottom w:val="none" w:sz="0" w:space="0" w:color="auto"/>
        <w:right w:val="none" w:sz="0" w:space="0" w:color="auto"/>
      </w:divBdr>
    </w:div>
    <w:div w:id="2012491442">
      <w:bodyDiv w:val="1"/>
      <w:marLeft w:val="0"/>
      <w:marRight w:val="0"/>
      <w:marTop w:val="0"/>
      <w:marBottom w:val="0"/>
      <w:divBdr>
        <w:top w:val="none" w:sz="0" w:space="0" w:color="auto"/>
        <w:left w:val="none" w:sz="0" w:space="0" w:color="auto"/>
        <w:bottom w:val="none" w:sz="0" w:space="0" w:color="auto"/>
        <w:right w:val="none" w:sz="0" w:space="0" w:color="auto"/>
      </w:divBdr>
    </w:div>
    <w:div w:id="207083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1596</Words>
  <Characters>9103</Characters>
  <Application>Microsoft Office Word</Application>
  <DocSecurity>0</DocSecurity>
  <Lines>75</Lines>
  <Paragraphs>21</Paragraphs>
  <ScaleCrop>false</ScaleCrop>
  <Company>Alma Mater Studiorum - Università di Bologna</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Vittorio Maniezzo</dc:creator>
  <cp:keywords/>
  <dc:description/>
  <cp:lastModifiedBy>Vittorio Maniezzo</cp:lastModifiedBy>
  <cp:revision>12</cp:revision>
  <dcterms:created xsi:type="dcterms:W3CDTF">2026-06-18T15:52:00Z</dcterms:created>
  <dcterms:modified xsi:type="dcterms:W3CDTF">2026-06-18T16:34:00Z</dcterms:modified>
</cp:coreProperties>
</file>