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1E9420" w14:textId="3BF057BC" w:rsidR="00305904" w:rsidRPr="004857D3" w:rsidRDefault="009440C7">
      <w:r w:rsidRPr="004857D3">
        <w:t>Reviewer 1</w:t>
      </w:r>
    </w:p>
    <w:p w14:paraId="3C3433BB" w14:textId="77777777" w:rsidR="009440C7" w:rsidRDefault="009440C7" w:rsidP="009440C7">
      <w:pPr>
        <w:pStyle w:val="NormalWeb"/>
        <w:shd w:val="clear" w:color="auto" w:fill="FFFFFF"/>
        <w:rPr>
          <w:rFonts w:ascii="Arial" w:hAnsi="Arial" w:cs="Arial"/>
          <w:color w:val="0A0A0A"/>
          <w:sz w:val="21"/>
          <w:szCs w:val="21"/>
        </w:rPr>
      </w:pPr>
      <w:r>
        <w:rPr>
          <w:rFonts w:ascii="Arial" w:hAnsi="Arial" w:cs="Arial"/>
          <w:color w:val="0A0A0A"/>
          <w:sz w:val="21"/>
          <w:szCs w:val="21"/>
        </w:rPr>
        <w:t>(1) I am not fully convinced by the novelty claim. The paper presents the main advantage as the ability to impose global structural constraints, but it also acknowledges that many segment-level constraints, such as minimum length, slope bounds, and admissible breakpoint positions, are already easy to handle in dynamic programming. The real novelty is therefore narrower than the paper sometimes suggests, and that distinction should be made more honestly.</w:t>
      </w:r>
    </w:p>
    <w:p w14:paraId="76371DFD" w14:textId="77777777" w:rsidR="004857D3" w:rsidRDefault="004857D3" w:rsidP="009440C7">
      <w:pPr>
        <w:pStyle w:val="NormalWeb"/>
        <w:shd w:val="clear" w:color="auto" w:fill="FFFFFF"/>
        <w:rPr>
          <w:rFonts w:ascii="Arial" w:hAnsi="Arial" w:cs="Arial"/>
          <w:color w:val="0A0A0A"/>
          <w:sz w:val="21"/>
          <w:szCs w:val="21"/>
        </w:rPr>
      </w:pPr>
    </w:p>
    <w:p w14:paraId="39B15265" w14:textId="77777777" w:rsidR="009440C7" w:rsidRDefault="009440C7" w:rsidP="009440C7">
      <w:pPr>
        <w:pStyle w:val="NormalWeb"/>
        <w:shd w:val="clear" w:color="auto" w:fill="FFFFFF"/>
        <w:rPr>
          <w:rFonts w:ascii="Arial" w:hAnsi="Arial" w:cs="Arial"/>
          <w:color w:val="0A0A0A"/>
          <w:sz w:val="21"/>
          <w:szCs w:val="21"/>
        </w:rPr>
      </w:pPr>
      <w:r>
        <w:rPr>
          <w:rFonts w:ascii="Arial" w:hAnsi="Arial" w:cs="Arial"/>
          <w:color w:val="0A0A0A"/>
          <w:sz w:val="21"/>
          <w:szCs w:val="21"/>
        </w:rPr>
        <w:t>(2) The scalability issue still feels underplayed. The paper itself notes that pre-enumerating feasible runs can make the set partitioning model computationally demanding, and that performance deteriorates on longer series. It then points to column generation, branch-and-price, and additional heuristics as future work. That makes the current method look more like a promising proof of concept than a fully scalable alternative.</w:t>
      </w:r>
    </w:p>
    <w:p w14:paraId="62B2AEC7" w14:textId="77777777" w:rsidR="009440C7" w:rsidRDefault="009440C7" w:rsidP="009440C7">
      <w:pPr>
        <w:pStyle w:val="NormalWeb"/>
        <w:shd w:val="clear" w:color="auto" w:fill="FFFFFF"/>
        <w:rPr>
          <w:rFonts w:ascii="Arial" w:hAnsi="Arial" w:cs="Arial"/>
          <w:color w:val="0A0A0A"/>
          <w:sz w:val="21"/>
          <w:szCs w:val="21"/>
        </w:rPr>
      </w:pPr>
      <w:r>
        <w:rPr>
          <w:rFonts w:ascii="Arial" w:hAnsi="Arial" w:cs="Arial"/>
          <w:color w:val="0A0A0A"/>
          <w:sz w:val="21"/>
          <w:szCs w:val="21"/>
        </w:rPr>
        <w:t xml:space="preserve">(3) I also found the empirical comparison less convincing than the paper implies. The benchmark methods were calibrated so that the number of segments would be broadly comparable to the proposed framework, and in one comparison TSSP was forced to use exactly the same number of segments as </w:t>
      </w:r>
      <w:proofErr w:type="spellStart"/>
      <w:r>
        <w:rPr>
          <w:rFonts w:ascii="Arial" w:hAnsi="Arial" w:cs="Arial"/>
          <w:color w:val="0A0A0A"/>
          <w:sz w:val="21"/>
          <w:szCs w:val="21"/>
        </w:rPr>
        <w:t>Dynp</w:t>
      </w:r>
      <w:proofErr w:type="spellEnd"/>
      <w:r>
        <w:rPr>
          <w:rFonts w:ascii="Arial" w:hAnsi="Arial" w:cs="Arial"/>
          <w:color w:val="0A0A0A"/>
          <w:sz w:val="21"/>
          <w:szCs w:val="21"/>
        </w:rPr>
        <w:t>, after which only runtimes were reported. That does not really support a strong claim of better segmentation quality. </w:t>
      </w:r>
    </w:p>
    <w:p w14:paraId="7BE7EA12" w14:textId="77777777" w:rsidR="009440C7" w:rsidRDefault="009440C7" w:rsidP="009440C7">
      <w:pPr>
        <w:pStyle w:val="NormalWeb"/>
        <w:shd w:val="clear" w:color="auto" w:fill="FFFFFF"/>
        <w:rPr>
          <w:rFonts w:ascii="Arial" w:hAnsi="Arial" w:cs="Arial"/>
          <w:color w:val="0A0A0A"/>
          <w:sz w:val="21"/>
          <w:szCs w:val="21"/>
        </w:rPr>
      </w:pPr>
      <w:r>
        <w:rPr>
          <w:rFonts w:ascii="Arial" w:hAnsi="Arial" w:cs="Arial"/>
          <w:color w:val="0A0A0A"/>
          <w:sz w:val="21"/>
          <w:szCs w:val="21"/>
        </w:rPr>
        <w:t>(4) The choice of cost functions feels somewhat ad hoc. The authors explicitly say that no single cost function consistently dominates across benchmark instances, yet the later analysis focuses mainly on AIC and QRMSE. I think the paper needs a cleaner argument for why these two are the right ones, beyond convenience or visual preference.</w:t>
      </w:r>
    </w:p>
    <w:p w14:paraId="0B0BB652" w14:textId="77777777" w:rsidR="009440C7" w:rsidRDefault="009440C7" w:rsidP="009440C7">
      <w:pPr>
        <w:pStyle w:val="NormalWeb"/>
        <w:shd w:val="clear" w:color="auto" w:fill="FFFFFF"/>
        <w:rPr>
          <w:rFonts w:ascii="Arial" w:hAnsi="Arial" w:cs="Arial"/>
          <w:color w:val="0A0A0A"/>
          <w:sz w:val="21"/>
          <w:szCs w:val="21"/>
        </w:rPr>
      </w:pPr>
      <w:r>
        <w:rPr>
          <w:rFonts w:ascii="Arial" w:hAnsi="Arial" w:cs="Arial"/>
          <w:color w:val="0A0A0A"/>
          <w:sz w:val="21"/>
          <w:szCs w:val="21"/>
        </w:rPr>
        <w:t>(5) Finally, the set-covering relaxation weakens the "exactness" message. Once the model moves from set partitioning to set covering, overlapping runs have to be repaired in postprocessing, and the final TSSC solution is heuristic, even if its average gap is reported below 1%. That is a useful practical compromise, but it should not be presented too close to the paper’s global-optimality rhetoric.</w:t>
      </w:r>
    </w:p>
    <w:p w14:paraId="0E628F15" w14:textId="489EAF97" w:rsidR="009440C7" w:rsidRDefault="009440C7">
      <w:r>
        <w:t>Reviewer 2</w:t>
      </w:r>
    </w:p>
    <w:p w14:paraId="0AC2FF9D" w14:textId="4BB118F6" w:rsidR="009440C7" w:rsidRPr="009440C7" w:rsidRDefault="009440C7">
      <w:r>
        <w:rPr>
          <w:rFonts w:ascii="Arial" w:hAnsi="Arial" w:cs="Arial"/>
          <w:color w:val="0A0A0A"/>
          <w:sz w:val="21"/>
          <w:szCs w:val="21"/>
          <w:shd w:val="clear" w:color="auto" w:fill="FFFFFF"/>
        </w:rPr>
        <w:t>1. This paper addresses the importance of change point detection in time series for statistical modeling and data-driven decision-making. The proposed method uses integer linear programming (ILP), unlike conventional methods based on dynamic programming (DP), which often impose strict structural constraints on the objective function.</w:t>
      </w:r>
      <w:r>
        <w:rPr>
          <w:rFonts w:ascii="Arial" w:hAnsi="Arial" w:cs="Arial"/>
          <w:color w:val="0A0A0A"/>
          <w:sz w:val="21"/>
          <w:szCs w:val="21"/>
        </w:rPr>
        <w:br/>
      </w:r>
      <w:r>
        <w:rPr>
          <w:rFonts w:ascii="Arial" w:hAnsi="Arial" w:cs="Arial"/>
          <w:color w:val="0A0A0A"/>
          <w:sz w:val="21"/>
          <w:szCs w:val="21"/>
        </w:rPr>
        <w:br/>
      </w:r>
      <w:r>
        <w:rPr>
          <w:rFonts w:ascii="Arial" w:hAnsi="Arial" w:cs="Arial"/>
          <w:color w:val="0A0A0A"/>
          <w:sz w:val="21"/>
          <w:szCs w:val="21"/>
          <w:shd w:val="clear" w:color="auto" w:fill="FFFFFF"/>
        </w:rPr>
        <w:t>2. A novel set-partitioning model for change point detection is presented. This model leverages combinatorial optimization to identify an optimal set of segments that explain the observed data. However, it is necessary to discuss the model's goodness of fit and predictive power, which will allow for a more precise determination of the model and, consequently, its potential to estimate the behavior of the phenomenon under study in other conditions.</w:t>
      </w:r>
      <w:r>
        <w:rPr>
          <w:rFonts w:ascii="Arial" w:hAnsi="Arial" w:cs="Arial"/>
          <w:color w:val="0A0A0A"/>
          <w:sz w:val="21"/>
          <w:szCs w:val="21"/>
        </w:rPr>
        <w:br/>
      </w:r>
      <w:r>
        <w:rPr>
          <w:rFonts w:ascii="Arial" w:hAnsi="Arial" w:cs="Arial"/>
          <w:color w:val="0A0A0A"/>
          <w:sz w:val="21"/>
          <w:szCs w:val="21"/>
        </w:rPr>
        <w:br/>
      </w:r>
      <w:r>
        <w:rPr>
          <w:rFonts w:ascii="Arial" w:hAnsi="Arial" w:cs="Arial"/>
          <w:color w:val="0A0A0A"/>
          <w:sz w:val="21"/>
          <w:szCs w:val="21"/>
          <w:shd w:val="clear" w:color="auto" w:fill="FFFFFF"/>
        </w:rPr>
        <w:t>3. This approach offers significantly greater expressiveness and flexibility in the cost structure, allowing for diverse non-additive loss functions and complex penalty schemes. However, it is advisable to analyze the effect of additivity on the cost structure to demonstrate the advantages of the proposed approach, as it does not impose strict structural restrictions on the objective function.</w:t>
      </w:r>
      <w:r>
        <w:rPr>
          <w:rFonts w:ascii="Arial" w:hAnsi="Arial" w:cs="Arial"/>
          <w:color w:val="0A0A0A"/>
          <w:sz w:val="21"/>
          <w:szCs w:val="21"/>
        </w:rPr>
        <w:br/>
      </w:r>
      <w:r>
        <w:rPr>
          <w:rFonts w:ascii="Arial" w:hAnsi="Arial" w:cs="Arial"/>
          <w:color w:val="0A0A0A"/>
          <w:sz w:val="21"/>
          <w:szCs w:val="21"/>
        </w:rPr>
        <w:br/>
      </w:r>
      <w:r>
        <w:rPr>
          <w:rFonts w:ascii="Arial" w:hAnsi="Arial" w:cs="Arial"/>
          <w:color w:val="0A0A0A"/>
          <w:sz w:val="21"/>
          <w:szCs w:val="21"/>
          <w:shd w:val="clear" w:color="auto" w:fill="FFFFFF"/>
        </w:rPr>
        <w:t>4. The references are appropriate to the context of the phenomenon under study.</w:t>
      </w:r>
      <w:r>
        <w:rPr>
          <w:rFonts w:ascii="Arial" w:hAnsi="Arial" w:cs="Arial"/>
          <w:color w:val="0A0A0A"/>
          <w:sz w:val="21"/>
          <w:szCs w:val="21"/>
        </w:rPr>
        <w:br/>
      </w:r>
      <w:r>
        <w:rPr>
          <w:rFonts w:ascii="Arial" w:hAnsi="Arial" w:cs="Arial"/>
          <w:color w:val="0A0A0A"/>
          <w:sz w:val="21"/>
          <w:szCs w:val="21"/>
        </w:rPr>
        <w:lastRenderedPageBreak/>
        <w:br/>
      </w:r>
      <w:r>
        <w:rPr>
          <w:rFonts w:ascii="Arial" w:hAnsi="Arial" w:cs="Arial"/>
          <w:color w:val="0A0A0A"/>
          <w:sz w:val="21"/>
          <w:szCs w:val="21"/>
          <w:shd w:val="clear" w:color="auto" w:fill="FFFFFF"/>
        </w:rPr>
        <w:t>5. The efficiency of modern MILP solvers, combined with customized dominance rules, allows for the solution of instances with several hundred observations in practical time. Nevertheless, the analysis and interpretation of possible solutions in diverse scenarios and operating conditions are required to observe the scope, breadth, and applicability of the proposed method.</w:t>
      </w:r>
    </w:p>
    <w:sectPr w:rsidR="009440C7" w:rsidRPr="009440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Light">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0C7"/>
    <w:rsid w:val="000E4B0B"/>
    <w:rsid w:val="00305904"/>
    <w:rsid w:val="003A3F25"/>
    <w:rsid w:val="003F743E"/>
    <w:rsid w:val="0042466C"/>
    <w:rsid w:val="004857D3"/>
    <w:rsid w:val="009440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606D86"/>
  <w15:chartTrackingRefBased/>
  <w15:docId w15:val="{A8C9887D-665B-4003-AD3A-E0E9E365D6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4B0B"/>
    <w:pPr>
      <w:spacing w:before="120" w:after="0" w:line="240" w:lineRule="auto"/>
    </w:pPr>
    <w:rPr>
      <w:rFonts w:ascii="Aptos Light" w:hAnsi="Aptos Light"/>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440C7"/>
    <w:pPr>
      <w:spacing w:before="100" w:beforeAutospacing="1" w:after="100" w:afterAutospacing="1"/>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02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TotalTime>
  <Pages>2</Pages>
  <Words>553</Words>
  <Characters>3157</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Vittorio Maniezzo</dc:creator>
  <cp:keywords/>
  <dc:description/>
  <cp:lastModifiedBy>Vittorio Maniezzo</cp:lastModifiedBy>
  <cp:revision>2</cp:revision>
  <dcterms:created xsi:type="dcterms:W3CDTF">2026-04-07T07:49:00Z</dcterms:created>
  <dcterms:modified xsi:type="dcterms:W3CDTF">2026-04-10T05:55:00Z</dcterms:modified>
</cp:coreProperties>
</file>