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9FE4" w14:textId="77777777" w:rsidR="00C83590" w:rsidRDefault="00C83590">
      <w:pPr>
        <w:spacing w:before="1600"/>
      </w:pPr>
    </w:p>
    <w:p w14:paraId="1ADEDA41" w14:textId="77777777" w:rsidR="00C83590" w:rsidRPr="00ED1409" w:rsidRDefault="009F5187">
      <w:pPr>
        <w:spacing w:after="200"/>
        <w:jc w:val="center"/>
        <w:rPr>
          <w:rFonts w:ascii="Times New Roman" w:hAnsi="Times New Roman" w:cs="Times New Roman"/>
        </w:rPr>
      </w:pPr>
      <w:r w:rsidRPr="00ED1409">
        <w:rPr>
          <w:rFonts w:ascii="Times New Roman" w:hAnsi="Times New Roman" w:cs="Times New Roman"/>
          <w:b/>
          <w:bCs/>
          <w:caps/>
          <w:color w:val="C9A227"/>
          <w:spacing w:val="20"/>
          <w:sz w:val="22"/>
          <w:szCs w:val="22"/>
        </w:rPr>
        <w:t>THE EUROPEAN CENTRAL BANK</w:t>
      </w:r>
    </w:p>
    <w:p w14:paraId="72679CB8" w14:textId="77777777" w:rsidR="00C83590" w:rsidRPr="00ED1409" w:rsidRDefault="009F5187">
      <w:pPr>
        <w:spacing w:before="400" w:after="200"/>
        <w:jc w:val="center"/>
        <w:rPr>
          <w:rFonts w:ascii="Times New Roman" w:hAnsi="Times New Roman" w:cs="Times New Roman"/>
        </w:rPr>
      </w:pPr>
      <w:r w:rsidRPr="00ED1409">
        <w:rPr>
          <w:rFonts w:ascii="Times New Roman" w:hAnsi="Times New Roman" w:cs="Times New Roman"/>
          <w:b/>
          <w:bCs/>
          <w:color w:val="1B2A4A"/>
          <w:sz w:val="46"/>
          <w:szCs w:val="46"/>
        </w:rPr>
        <w:t>Customer Engagement &amp; Product</w:t>
      </w:r>
    </w:p>
    <w:p w14:paraId="0BF42606" w14:textId="77777777" w:rsidR="00C83590" w:rsidRPr="00ED1409" w:rsidRDefault="009F5187">
      <w:pPr>
        <w:spacing w:after="200"/>
        <w:jc w:val="center"/>
        <w:rPr>
          <w:rFonts w:ascii="Times New Roman" w:hAnsi="Times New Roman" w:cs="Times New Roman"/>
        </w:rPr>
      </w:pPr>
      <w:r w:rsidRPr="00ED1409">
        <w:rPr>
          <w:rFonts w:ascii="Times New Roman" w:hAnsi="Times New Roman" w:cs="Times New Roman"/>
          <w:b/>
          <w:bCs/>
          <w:color w:val="1B2A4A"/>
          <w:sz w:val="46"/>
          <w:szCs w:val="46"/>
        </w:rPr>
        <w:t>Utilization Analytics for Retention Strategy</w:t>
      </w:r>
    </w:p>
    <w:p w14:paraId="30636C4D" w14:textId="77777777" w:rsidR="00C83590" w:rsidRPr="00ED1409" w:rsidRDefault="009F5187">
      <w:pPr>
        <w:spacing w:before="300" w:after="600"/>
        <w:jc w:val="center"/>
        <w:rPr>
          <w:rFonts w:ascii="Times New Roman" w:hAnsi="Times New Roman" w:cs="Times New Roman"/>
        </w:rPr>
      </w:pPr>
      <w:r w:rsidRPr="00ED1409">
        <w:rPr>
          <w:rFonts w:ascii="Times New Roman" w:hAnsi="Times New Roman" w:cs="Times New Roman"/>
          <w:i/>
          <w:iCs/>
          <w:color w:val="1E8A8A"/>
          <w:sz w:val="26"/>
          <w:szCs w:val="26"/>
        </w:rPr>
        <w:t xml:space="preserve">A </w:t>
      </w:r>
      <w:proofErr w:type="spellStart"/>
      <w:r w:rsidRPr="00ED1409">
        <w:rPr>
          <w:rFonts w:ascii="Times New Roman" w:hAnsi="Times New Roman" w:cs="Times New Roman"/>
          <w:i/>
          <w:iCs/>
          <w:color w:val="1E8A8A"/>
          <w:sz w:val="26"/>
          <w:szCs w:val="26"/>
        </w:rPr>
        <w:t>Behavioral</w:t>
      </w:r>
      <w:proofErr w:type="spellEnd"/>
      <w:r w:rsidRPr="00ED1409">
        <w:rPr>
          <w:rFonts w:ascii="Times New Roman" w:hAnsi="Times New Roman" w:cs="Times New Roman"/>
          <w:i/>
          <w:iCs/>
          <w:color w:val="1E8A8A"/>
          <w:sz w:val="26"/>
          <w:szCs w:val="26"/>
        </w:rPr>
        <w:t xml:space="preserve"> &amp; Relationship-Depth Analysis of Customer Churn</w:t>
      </w:r>
    </w:p>
    <w:p w14:paraId="713EA1AF" w14:textId="77777777" w:rsidR="00C83590" w:rsidRPr="00ED1409" w:rsidRDefault="009F5187">
      <w:pPr>
        <w:pBdr>
          <w:top w:val="single" w:sz="6" w:space="8" w:color="C9A227"/>
        </w:pBdr>
        <w:spacing w:before="1200" w:after="100"/>
        <w:jc w:val="center"/>
        <w:rPr>
          <w:rFonts w:ascii="Times New Roman" w:hAnsi="Times New Roman" w:cs="Times New Roman"/>
        </w:rPr>
      </w:pPr>
      <w:r w:rsidRPr="00ED1409">
        <w:rPr>
          <w:rFonts w:ascii="Times New Roman" w:hAnsi="Times New Roman" w:cs="Times New Roman"/>
          <w:b/>
          <w:bCs/>
          <w:color w:val="1B2A4A"/>
          <w:sz w:val="24"/>
          <w:szCs w:val="24"/>
        </w:rPr>
        <w:t>RESEARCH PAPER</w:t>
      </w:r>
    </w:p>
    <w:p w14:paraId="0ACD9D01" w14:textId="77777777" w:rsidR="00C83590" w:rsidRPr="00ED1409" w:rsidRDefault="009F5187">
      <w:pPr>
        <w:spacing w:after="60"/>
        <w:jc w:val="center"/>
        <w:rPr>
          <w:rFonts w:ascii="Times New Roman" w:hAnsi="Times New Roman" w:cs="Times New Roman"/>
        </w:rPr>
      </w:pPr>
      <w:r w:rsidRPr="00ED1409">
        <w:rPr>
          <w:rFonts w:ascii="Times New Roman" w:hAnsi="Times New Roman" w:cs="Times New Roman"/>
          <w:color w:val="6B7280"/>
        </w:rPr>
        <w:t>Prepared for Unified Mentor — The European Central Bank</w:t>
      </w:r>
    </w:p>
    <w:p w14:paraId="0D0CEE88" w14:textId="77777777" w:rsidR="00C83590" w:rsidRPr="00ED1409" w:rsidRDefault="009F5187">
      <w:pPr>
        <w:spacing w:after="60"/>
        <w:jc w:val="center"/>
        <w:rPr>
          <w:rFonts w:ascii="Times New Roman" w:hAnsi="Times New Roman" w:cs="Times New Roman"/>
        </w:rPr>
      </w:pPr>
      <w:r w:rsidRPr="00ED1409">
        <w:rPr>
          <w:rFonts w:ascii="Times New Roman" w:hAnsi="Times New Roman" w:cs="Times New Roman"/>
          <w:color w:val="6B7280"/>
          <w:sz w:val="20"/>
          <w:szCs w:val="20"/>
        </w:rPr>
        <w:t xml:space="preserve">Dataset: </w:t>
      </w:r>
      <w:proofErr w:type="gramStart"/>
      <w:r w:rsidRPr="00ED1409">
        <w:rPr>
          <w:rFonts w:ascii="Times New Roman" w:hAnsi="Times New Roman" w:cs="Times New Roman"/>
          <w:color w:val="6B7280"/>
          <w:sz w:val="20"/>
          <w:szCs w:val="20"/>
        </w:rPr>
        <w:t>European_Bank.csv  |</w:t>
      </w:r>
      <w:proofErr w:type="gramEnd"/>
      <w:r w:rsidRPr="00ED1409">
        <w:rPr>
          <w:rFonts w:ascii="Times New Roman" w:hAnsi="Times New Roman" w:cs="Times New Roman"/>
          <w:color w:val="6B7280"/>
          <w:sz w:val="20"/>
          <w:szCs w:val="20"/>
        </w:rPr>
        <w:t xml:space="preserve">  10,000 Retail Banking </w:t>
      </w:r>
      <w:proofErr w:type="gramStart"/>
      <w:r w:rsidRPr="00ED1409">
        <w:rPr>
          <w:rFonts w:ascii="Times New Roman" w:hAnsi="Times New Roman" w:cs="Times New Roman"/>
          <w:color w:val="6B7280"/>
          <w:sz w:val="20"/>
          <w:szCs w:val="20"/>
        </w:rPr>
        <w:t>Customers  |</w:t>
      </w:r>
      <w:proofErr w:type="gramEnd"/>
      <w:r w:rsidRPr="00ED1409">
        <w:rPr>
          <w:rFonts w:ascii="Times New Roman" w:hAnsi="Times New Roman" w:cs="Times New Roman"/>
          <w:color w:val="6B7280"/>
          <w:sz w:val="20"/>
          <w:szCs w:val="20"/>
        </w:rPr>
        <w:t xml:space="preserve">  France, Germany, Spain</w:t>
      </w:r>
    </w:p>
    <w:p w14:paraId="44278F9A" w14:textId="77777777" w:rsidR="00C83590" w:rsidRPr="00ED1409" w:rsidRDefault="009F5187">
      <w:pPr>
        <w:spacing w:after="1600"/>
        <w:jc w:val="center"/>
        <w:rPr>
          <w:rFonts w:ascii="Times New Roman" w:hAnsi="Times New Roman" w:cs="Times New Roman"/>
        </w:rPr>
      </w:pPr>
      <w:r w:rsidRPr="00ED1409">
        <w:rPr>
          <w:rFonts w:ascii="Times New Roman" w:hAnsi="Times New Roman" w:cs="Times New Roman"/>
          <w:color w:val="6B7280"/>
          <w:sz w:val="20"/>
          <w:szCs w:val="20"/>
        </w:rPr>
        <w:t>July 2026</w:t>
      </w:r>
    </w:p>
    <w:p w14:paraId="3CBCE9A0"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365B816F" w14:textId="77777777" w:rsidR="00C83590" w:rsidRPr="00ED1409" w:rsidRDefault="009F5187">
      <w:pPr>
        <w:pStyle w:val="Heading1"/>
        <w:pBdr>
          <w:bottom w:val="single" w:sz="6" w:space="4" w:color="1B2A4A"/>
        </w:pBdr>
        <w:spacing w:after="240"/>
        <w:rPr>
          <w:rFonts w:ascii="Times New Roman" w:hAnsi="Times New Roman" w:cs="Times New Roman"/>
        </w:rPr>
      </w:pPr>
      <w:bookmarkStart w:id="0" w:name="_Toc235001476"/>
      <w:r w:rsidRPr="00ED1409">
        <w:rPr>
          <w:rFonts w:ascii="Times New Roman" w:hAnsi="Times New Roman" w:cs="Times New Roman"/>
          <w:b/>
          <w:bCs/>
          <w:color w:val="1B2A4A"/>
        </w:rPr>
        <w:lastRenderedPageBreak/>
        <w:t>Table of Contents</w:t>
      </w:r>
      <w:bookmarkEnd w:id="0"/>
    </w:p>
    <w:sdt>
      <w:sdtPr>
        <w:rPr>
          <w:rFonts w:ascii="Times New Roman" w:hAnsi="Times New Roman" w:cs="Times New Roman"/>
        </w:rPr>
        <w:alias w:val="Table of Contents"/>
        <w:id w:val="-1829430156"/>
      </w:sdtPr>
      <w:sdtEndPr/>
      <w:sdtContent>
        <w:p w14:paraId="6F813EC9" w14:textId="77777777" w:rsidR="008F547A" w:rsidRPr="00ED1409" w:rsidRDefault="009F5187">
          <w:pPr>
            <w:pStyle w:val="TOC1"/>
            <w:tabs>
              <w:tab w:val="right" w:leader="dot" w:pos="9016"/>
            </w:tabs>
            <w:rPr>
              <w:rFonts w:ascii="Times New Roman" w:hAnsi="Times New Roman" w:cs="Times New Roman"/>
              <w:noProof/>
            </w:rPr>
          </w:pPr>
          <w:r w:rsidRPr="00ED1409">
            <w:rPr>
              <w:rFonts w:ascii="Times New Roman" w:hAnsi="Times New Roman" w:cs="Times New Roman"/>
            </w:rPr>
            <w:fldChar w:fldCharType="begin"/>
          </w:r>
          <w:r w:rsidRPr="00ED1409">
            <w:rPr>
              <w:rFonts w:ascii="Times New Roman" w:hAnsi="Times New Roman" w:cs="Times New Roman"/>
            </w:rPr>
            <w:instrText>TOC \h \o "1-2"</w:instrText>
          </w:r>
          <w:r w:rsidRPr="00ED1409">
            <w:rPr>
              <w:rFonts w:ascii="Times New Roman" w:hAnsi="Times New Roman" w:cs="Times New Roman"/>
            </w:rPr>
            <w:fldChar w:fldCharType="separate"/>
          </w:r>
          <w:hyperlink w:anchor="_Toc235001476" w:history="1">
            <w:r w:rsidR="008F547A" w:rsidRPr="00ED1409">
              <w:rPr>
                <w:rStyle w:val="Hyperlink"/>
                <w:rFonts w:ascii="Times New Roman" w:hAnsi="Times New Roman" w:cs="Times New Roman"/>
                <w:b/>
                <w:bCs/>
                <w:noProof/>
              </w:rPr>
              <w:t>Table of Contents</w:t>
            </w:r>
            <w:r w:rsidR="008F547A" w:rsidRPr="00ED1409">
              <w:rPr>
                <w:rFonts w:ascii="Times New Roman" w:hAnsi="Times New Roman" w:cs="Times New Roman"/>
                <w:noProof/>
              </w:rPr>
              <w:tab/>
            </w:r>
            <w:r w:rsidR="008F547A" w:rsidRPr="00ED1409">
              <w:rPr>
                <w:rFonts w:ascii="Times New Roman" w:hAnsi="Times New Roman" w:cs="Times New Roman"/>
                <w:noProof/>
              </w:rPr>
              <w:fldChar w:fldCharType="begin"/>
            </w:r>
            <w:r w:rsidR="008F547A" w:rsidRPr="00ED1409">
              <w:rPr>
                <w:rFonts w:ascii="Times New Roman" w:hAnsi="Times New Roman" w:cs="Times New Roman"/>
                <w:noProof/>
              </w:rPr>
              <w:instrText xml:space="preserve"> PAGEREF _Toc235001476 \h </w:instrText>
            </w:r>
            <w:r w:rsidR="008F547A" w:rsidRPr="00ED1409">
              <w:rPr>
                <w:rFonts w:ascii="Times New Roman" w:hAnsi="Times New Roman" w:cs="Times New Roman"/>
                <w:noProof/>
              </w:rPr>
            </w:r>
            <w:r w:rsidR="008F547A" w:rsidRPr="00ED1409">
              <w:rPr>
                <w:rFonts w:ascii="Times New Roman" w:hAnsi="Times New Roman" w:cs="Times New Roman"/>
                <w:noProof/>
              </w:rPr>
              <w:fldChar w:fldCharType="separate"/>
            </w:r>
            <w:r w:rsidR="008F547A" w:rsidRPr="00ED1409">
              <w:rPr>
                <w:rFonts w:ascii="Times New Roman" w:hAnsi="Times New Roman" w:cs="Times New Roman"/>
                <w:noProof/>
              </w:rPr>
              <w:t>2</w:t>
            </w:r>
            <w:r w:rsidR="008F547A" w:rsidRPr="00ED1409">
              <w:rPr>
                <w:rFonts w:ascii="Times New Roman" w:hAnsi="Times New Roman" w:cs="Times New Roman"/>
                <w:noProof/>
              </w:rPr>
              <w:fldChar w:fldCharType="end"/>
            </w:r>
          </w:hyperlink>
        </w:p>
        <w:p w14:paraId="4C529F74" w14:textId="77777777" w:rsidR="008F547A" w:rsidRPr="00ED1409" w:rsidRDefault="008F547A">
          <w:pPr>
            <w:pStyle w:val="TOC1"/>
            <w:tabs>
              <w:tab w:val="right" w:leader="dot" w:pos="9016"/>
            </w:tabs>
            <w:rPr>
              <w:rFonts w:ascii="Times New Roman" w:hAnsi="Times New Roman" w:cs="Times New Roman"/>
              <w:noProof/>
            </w:rPr>
          </w:pPr>
          <w:hyperlink w:anchor="_Toc235001477" w:history="1">
            <w:r w:rsidRPr="00ED1409">
              <w:rPr>
                <w:rStyle w:val="Hyperlink"/>
                <w:rFonts w:ascii="Times New Roman" w:hAnsi="Times New Roman" w:cs="Times New Roman"/>
                <w:b/>
                <w:bCs/>
                <w:noProof/>
              </w:rPr>
              <w:t>Executive Summary</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_Toc235001477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4</w:t>
            </w:r>
            <w:r w:rsidRPr="00ED1409">
              <w:rPr>
                <w:rFonts w:ascii="Times New Roman" w:hAnsi="Times New Roman" w:cs="Times New Roman"/>
                <w:noProof/>
              </w:rPr>
              <w:fldChar w:fldCharType="end"/>
            </w:r>
          </w:hyperlink>
        </w:p>
        <w:p w14:paraId="18BBF77D" w14:textId="77777777" w:rsidR="008F547A" w:rsidRPr="00ED1409" w:rsidRDefault="008F547A">
          <w:pPr>
            <w:pStyle w:val="TOC1"/>
            <w:tabs>
              <w:tab w:val="right" w:leader="dot" w:pos="9016"/>
            </w:tabs>
            <w:rPr>
              <w:rFonts w:ascii="Times New Roman" w:hAnsi="Times New Roman" w:cs="Times New Roman"/>
              <w:noProof/>
            </w:rPr>
          </w:pPr>
          <w:hyperlink w:anchor="_Toc235001478" w:history="1">
            <w:r w:rsidRPr="00ED1409">
              <w:rPr>
                <w:rStyle w:val="Hyperlink"/>
                <w:rFonts w:ascii="Times New Roman" w:hAnsi="Times New Roman" w:cs="Times New Roman"/>
                <w:b/>
                <w:bCs/>
                <w:noProof/>
              </w:rPr>
              <w:t>1. Background and Context</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_Toc235001478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5</w:t>
            </w:r>
            <w:r w:rsidRPr="00ED1409">
              <w:rPr>
                <w:rFonts w:ascii="Times New Roman" w:hAnsi="Times New Roman" w:cs="Times New Roman"/>
                <w:noProof/>
              </w:rPr>
              <w:fldChar w:fldCharType="end"/>
            </w:r>
          </w:hyperlink>
        </w:p>
        <w:p w14:paraId="7E1241C9" w14:textId="77777777" w:rsidR="008F547A" w:rsidRPr="00ED1409" w:rsidRDefault="008F547A">
          <w:pPr>
            <w:pStyle w:val="TOC1"/>
            <w:tabs>
              <w:tab w:val="right" w:leader="dot" w:pos="9016"/>
            </w:tabs>
            <w:rPr>
              <w:rFonts w:ascii="Times New Roman" w:hAnsi="Times New Roman" w:cs="Times New Roman"/>
              <w:noProof/>
            </w:rPr>
          </w:pPr>
          <w:hyperlink w:anchor="_Toc235001479" w:history="1">
            <w:r w:rsidRPr="00ED1409">
              <w:rPr>
                <w:rStyle w:val="Hyperlink"/>
                <w:rFonts w:ascii="Times New Roman" w:hAnsi="Times New Roman" w:cs="Times New Roman"/>
                <w:b/>
                <w:bCs/>
                <w:noProof/>
              </w:rPr>
              <w:t>2. Problem Statement</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_Toc235001479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5</w:t>
            </w:r>
            <w:r w:rsidRPr="00ED1409">
              <w:rPr>
                <w:rFonts w:ascii="Times New Roman" w:hAnsi="Times New Roman" w:cs="Times New Roman"/>
                <w:noProof/>
              </w:rPr>
              <w:fldChar w:fldCharType="end"/>
            </w:r>
          </w:hyperlink>
        </w:p>
        <w:p w14:paraId="1D72B1E2" w14:textId="77777777" w:rsidR="008F547A" w:rsidRPr="00ED1409" w:rsidRDefault="008F547A">
          <w:pPr>
            <w:pStyle w:val="TOC1"/>
            <w:tabs>
              <w:tab w:val="right" w:leader="dot" w:pos="9016"/>
            </w:tabs>
            <w:rPr>
              <w:rFonts w:ascii="Times New Roman" w:hAnsi="Times New Roman" w:cs="Times New Roman"/>
              <w:noProof/>
            </w:rPr>
          </w:pPr>
          <w:hyperlink w:anchor="_Toc235001480" w:history="1">
            <w:r w:rsidRPr="00ED1409">
              <w:rPr>
                <w:rStyle w:val="Hyperlink"/>
                <w:rFonts w:ascii="Times New Roman" w:hAnsi="Times New Roman" w:cs="Times New Roman"/>
                <w:b/>
                <w:bCs/>
                <w:noProof/>
              </w:rPr>
              <w:t>3. Project Objectives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_Toc235001480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5</w:t>
            </w:r>
            <w:r w:rsidRPr="00ED1409">
              <w:rPr>
                <w:rFonts w:ascii="Times New Roman" w:hAnsi="Times New Roman" w:cs="Times New Roman"/>
                <w:noProof/>
              </w:rPr>
              <w:fldChar w:fldCharType="end"/>
            </w:r>
          </w:hyperlink>
        </w:p>
        <w:p w14:paraId="541EFA4D" w14:textId="77777777" w:rsidR="008F547A" w:rsidRPr="00ED1409" w:rsidRDefault="008F547A">
          <w:pPr>
            <w:pStyle w:val="TOC2"/>
            <w:tabs>
              <w:tab w:val="right" w:leader="dot" w:pos="9016"/>
            </w:tabs>
            <w:rPr>
              <w:rFonts w:ascii="Times New Roman" w:hAnsi="Times New Roman" w:cs="Times New Roman"/>
              <w:noProof/>
            </w:rPr>
          </w:pPr>
          <w:hyperlink w:anchor="_Toc235001481" w:history="1">
            <w:r w:rsidRPr="00ED1409">
              <w:rPr>
                <w:rStyle w:val="Hyperlink"/>
                <w:rFonts w:ascii="Times New Roman" w:hAnsi="Times New Roman" w:cs="Times New Roman"/>
                <w:b/>
                <w:bCs/>
                <w:noProof/>
              </w:rPr>
              <w:t>Primary Objectives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_Toc235001481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5</w:t>
            </w:r>
            <w:r w:rsidRPr="00ED1409">
              <w:rPr>
                <w:rFonts w:ascii="Times New Roman" w:hAnsi="Times New Roman" w:cs="Times New Roman"/>
                <w:noProof/>
              </w:rPr>
              <w:fldChar w:fldCharType="end"/>
            </w:r>
          </w:hyperlink>
        </w:p>
        <w:p w14:paraId="43753596" w14:textId="77777777" w:rsidR="008F547A" w:rsidRPr="00ED1409" w:rsidRDefault="008F547A">
          <w:pPr>
            <w:pStyle w:val="TOC2"/>
            <w:tabs>
              <w:tab w:val="right" w:leader="dot" w:pos="9016"/>
            </w:tabs>
            <w:rPr>
              <w:rFonts w:ascii="Times New Roman" w:hAnsi="Times New Roman" w:cs="Times New Roman"/>
              <w:noProof/>
            </w:rPr>
          </w:pPr>
          <w:hyperlink w:anchor="_Toc235001482" w:history="1">
            <w:r w:rsidRPr="00ED1409">
              <w:rPr>
                <w:rStyle w:val="Hyperlink"/>
                <w:rFonts w:ascii="Times New Roman" w:hAnsi="Times New Roman" w:cs="Times New Roman"/>
                <w:b/>
                <w:bCs/>
                <w:noProof/>
              </w:rPr>
              <w:t>Secondary Objectives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_Toc235001482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6</w:t>
            </w:r>
            <w:r w:rsidRPr="00ED1409">
              <w:rPr>
                <w:rFonts w:ascii="Times New Roman" w:hAnsi="Times New Roman" w:cs="Times New Roman"/>
                <w:noProof/>
              </w:rPr>
              <w:fldChar w:fldCharType="end"/>
            </w:r>
          </w:hyperlink>
        </w:p>
        <w:p w14:paraId="02959EA0" w14:textId="77777777" w:rsidR="008F547A" w:rsidRPr="00ED1409" w:rsidRDefault="008F547A">
          <w:pPr>
            <w:pStyle w:val="TOC1"/>
            <w:tabs>
              <w:tab w:val="right" w:leader="dot" w:pos="9016"/>
            </w:tabs>
            <w:rPr>
              <w:rFonts w:ascii="Times New Roman" w:hAnsi="Times New Roman" w:cs="Times New Roman"/>
              <w:noProof/>
            </w:rPr>
          </w:pPr>
          <w:hyperlink w:anchor="_Toc235001483" w:history="1">
            <w:r w:rsidRPr="00ED1409">
              <w:rPr>
                <w:rStyle w:val="Hyperlink"/>
                <w:rFonts w:ascii="Times New Roman" w:hAnsi="Times New Roman" w:cs="Times New Roman"/>
                <w:b/>
                <w:bCs/>
                <w:noProof/>
              </w:rPr>
              <w:t>4. Data Description &amp; Validation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_Toc235001483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7</w:t>
            </w:r>
            <w:r w:rsidRPr="00ED1409">
              <w:rPr>
                <w:rFonts w:ascii="Times New Roman" w:hAnsi="Times New Roman" w:cs="Times New Roman"/>
                <w:noProof/>
              </w:rPr>
              <w:fldChar w:fldCharType="end"/>
            </w:r>
          </w:hyperlink>
        </w:p>
        <w:p w14:paraId="40F31F84" w14:textId="77777777" w:rsidR="008F547A" w:rsidRPr="00ED1409" w:rsidRDefault="008F547A">
          <w:pPr>
            <w:pStyle w:val="TOC2"/>
            <w:tabs>
              <w:tab w:val="right" w:leader="dot" w:pos="9016"/>
            </w:tabs>
            <w:rPr>
              <w:rFonts w:ascii="Times New Roman" w:hAnsi="Times New Roman" w:cs="Times New Roman"/>
              <w:noProof/>
            </w:rPr>
          </w:pPr>
          <w:hyperlink w:anchor="_Toc235001484" w:history="1">
            <w:r w:rsidRPr="00ED1409">
              <w:rPr>
                <w:rStyle w:val="Hyperlink"/>
                <w:rFonts w:ascii="Times New Roman" w:hAnsi="Times New Roman" w:cs="Times New Roman"/>
                <w:b/>
                <w:bCs/>
                <w:noProof/>
              </w:rPr>
              <w:t>Validation Results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_Toc235001484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7</w:t>
            </w:r>
            <w:r w:rsidRPr="00ED1409">
              <w:rPr>
                <w:rFonts w:ascii="Times New Roman" w:hAnsi="Times New Roman" w:cs="Times New Roman"/>
                <w:noProof/>
              </w:rPr>
              <w:fldChar w:fldCharType="end"/>
            </w:r>
          </w:hyperlink>
        </w:p>
        <w:p w14:paraId="4A0CD80E" w14:textId="77777777" w:rsidR="008F547A" w:rsidRPr="00ED1409" w:rsidRDefault="008F547A">
          <w:pPr>
            <w:pStyle w:val="TOC1"/>
            <w:tabs>
              <w:tab w:val="right" w:leader="dot" w:pos="9016"/>
            </w:tabs>
            <w:rPr>
              <w:rFonts w:ascii="Times New Roman" w:hAnsi="Times New Roman" w:cs="Times New Roman"/>
              <w:noProof/>
            </w:rPr>
          </w:pPr>
          <w:hyperlink w:anchor="_Toc235001485" w:history="1">
            <w:r w:rsidRPr="00ED1409">
              <w:rPr>
                <w:rStyle w:val="Hyperlink"/>
                <w:rFonts w:ascii="Times New Roman" w:hAnsi="Times New Roman" w:cs="Times New Roman"/>
                <w:b/>
                <w:bCs/>
                <w:noProof/>
              </w:rPr>
              <w:t>5. Analytical Methodology</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_Toc235001485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69C97E67" w14:textId="77777777" w:rsidR="008F547A" w:rsidRPr="00ED1409" w:rsidRDefault="008F547A">
          <w:pPr>
            <w:pStyle w:val="TOC2"/>
            <w:tabs>
              <w:tab w:val="right" w:leader="dot" w:pos="9016"/>
            </w:tabs>
            <w:rPr>
              <w:rFonts w:ascii="Times New Roman" w:hAnsi="Times New Roman" w:cs="Times New Roman"/>
              <w:noProof/>
            </w:rPr>
          </w:pPr>
          <w:hyperlink w:anchor="_Toc235001486" w:history="1">
            <w:r w:rsidRPr="00ED1409">
              <w:rPr>
                <w:rStyle w:val="Hyperlink"/>
                <w:rFonts w:ascii="Times New Roman" w:hAnsi="Times New Roman" w:cs="Times New Roman"/>
                <w:b/>
                <w:bCs/>
                <w:noProof/>
              </w:rPr>
              <w:t>Stage 1 — Data Ingestion &amp; Validation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_Toc235001486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72033624" w14:textId="77777777" w:rsidR="008F547A" w:rsidRPr="00ED1409" w:rsidRDefault="008F547A">
          <w:pPr>
            <w:pStyle w:val="TOC2"/>
            <w:tabs>
              <w:tab w:val="right" w:leader="dot" w:pos="9016"/>
            </w:tabs>
            <w:rPr>
              <w:rFonts w:ascii="Times New Roman" w:hAnsi="Times New Roman" w:cs="Times New Roman"/>
              <w:noProof/>
            </w:rPr>
          </w:pPr>
          <w:hyperlink w:anchor="_Toc235001487" w:history="1">
            <w:r w:rsidRPr="00ED1409">
              <w:rPr>
                <w:rStyle w:val="Hyperlink"/>
                <w:rFonts w:ascii="Times New Roman" w:hAnsi="Times New Roman" w:cs="Times New Roman"/>
                <w:b/>
                <w:bCs/>
                <w:noProof/>
              </w:rPr>
              <w:t>Stage 2 — Engagement Classification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_Toc235001487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00410588" w14:textId="77777777" w:rsidR="008F547A" w:rsidRPr="00ED1409" w:rsidRDefault="008F547A">
          <w:pPr>
            <w:pStyle w:val="TOC2"/>
            <w:tabs>
              <w:tab w:val="right" w:leader="dot" w:pos="9016"/>
            </w:tabs>
            <w:rPr>
              <w:rFonts w:ascii="Times New Roman" w:hAnsi="Times New Roman" w:cs="Times New Roman"/>
              <w:noProof/>
            </w:rPr>
          </w:pPr>
          <w:hyperlink w:anchor="_Toc235001488" w:history="1">
            <w:r w:rsidRPr="00ED1409">
              <w:rPr>
                <w:rStyle w:val="Hyperlink"/>
                <w:rFonts w:ascii="Times New Roman" w:hAnsi="Times New Roman" w:cs="Times New Roman"/>
                <w:b/>
                <w:bCs/>
                <w:noProof/>
              </w:rPr>
              <w:t>Stage 3 — Product Utilization Analysis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_Toc235001488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597DEF06" w14:textId="77777777" w:rsidR="008F547A" w:rsidRPr="00ED1409" w:rsidRDefault="008F547A">
          <w:pPr>
            <w:pStyle w:val="TOC2"/>
            <w:tabs>
              <w:tab w:val="right" w:leader="dot" w:pos="9016"/>
            </w:tabs>
            <w:rPr>
              <w:rFonts w:ascii="Times New Roman" w:hAnsi="Times New Roman" w:cs="Times New Roman"/>
              <w:noProof/>
            </w:rPr>
          </w:pPr>
          <w:hyperlink w:anchor="_Toc235001489" w:history="1">
            <w:r w:rsidRPr="00ED1409">
              <w:rPr>
                <w:rStyle w:val="Hyperlink"/>
                <w:rFonts w:ascii="Times New Roman" w:hAnsi="Times New Roman" w:cs="Times New Roman"/>
                <w:b/>
                <w:bCs/>
                <w:noProof/>
              </w:rPr>
              <w:t>Stage 4 — Financial Commitment vs. Engagement Analysis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_Toc235001489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4F4790FF" w14:textId="77777777" w:rsidR="008F547A" w:rsidRPr="00ED1409" w:rsidRDefault="008F547A">
          <w:pPr>
            <w:pStyle w:val="TOC2"/>
            <w:tabs>
              <w:tab w:val="right" w:leader="dot" w:pos="9016"/>
            </w:tabs>
            <w:rPr>
              <w:rFonts w:ascii="Times New Roman" w:hAnsi="Times New Roman" w:cs="Times New Roman"/>
              <w:noProof/>
            </w:rPr>
          </w:pPr>
          <w:hyperlink w:anchor="_Toc235001490" w:history="1">
            <w:r w:rsidRPr="00ED1409">
              <w:rPr>
                <w:rStyle w:val="Hyperlink"/>
                <w:rFonts w:ascii="Times New Roman" w:hAnsi="Times New Roman" w:cs="Times New Roman"/>
                <w:b/>
                <w:bCs/>
                <w:noProof/>
              </w:rPr>
              <w:t>Stage 5 — Retention Strength Assessment</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_Toc235001490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8</w:t>
            </w:r>
            <w:r w:rsidRPr="00ED1409">
              <w:rPr>
                <w:rFonts w:ascii="Times New Roman" w:hAnsi="Times New Roman" w:cs="Times New Roman"/>
                <w:noProof/>
              </w:rPr>
              <w:fldChar w:fldCharType="end"/>
            </w:r>
          </w:hyperlink>
        </w:p>
        <w:p w14:paraId="07926A5F" w14:textId="77777777" w:rsidR="008F547A" w:rsidRPr="00ED1409" w:rsidRDefault="008F547A">
          <w:pPr>
            <w:pStyle w:val="TOC1"/>
            <w:tabs>
              <w:tab w:val="right" w:leader="dot" w:pos="9016"/>
            </w:tabs>
            <w:rPr>
              <w:rFonts w:ascii="Times New Roman" w:hAnsi="Times New Roman" w:cs="Times New Roman"/>
              <w:noProof/>
            </w:rPr>
          </w:pPr>
          <w:hyperlink w:anchor="_Toc235001491" w:history="1">
            <w:r w:rsidRPr="00ED1409">
              <w:rPr>
                <w:rStyle w:val="Hyperlink"/>
                <w:rFonts w:ascii="Times New Roman" w:hAnsi="Times New Roman" w:cs="Times New Roman"/>
                <w:b/>
                <w:bCs/>
                <w:noProof/>
              </w:rPr>
              <w:t>6. Findings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_Toc235001491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9</w:t>
            </w:r>
            <w:r w:rsidRPr="00ED1409">
              <w:rPr>
                <w:rFonts w:ascii="Times New Roman" w:hAnsi="Times New Roman" w:cs="Times New Roman"/>
                <w:noProof/>
              </w:rPr>
              <w:fldChar w:fldCharType="end"/>
            </w:r>
          </w:hyperlink>
        </w:p>
        <w:p w14:paraId="170768ED" w14:textId="77777777" w:rsidR="008F547A" w:rsidRPr="00ED1409" w:rsidRDefault="008F547A">
          <w:pPr>
            <w:pStyle w:val="TOC2"/>
            <w:tabs>
              <w:tab w:val="right" w:leader="dot" w:pos="9016"/>
            </w:tabs>
            <w:rPr>
              <w:rFonts w:ascii="Times New Roman" w:hAnsi="Times New Roman" w:cs="Times New Roman"/>
              <w:noProof/>
            </w:rPr>
          </w:pPr>
          <w:hyperlink w:anchor="_Toc235001492" w:history="1">
            <w:r w:rsidRPr="00ED1409">
              <w:rPr>
                <w:rStyle w:val="Hyperlink"/>
                <w:rFonts w:ascii="Times New Roman" w:hAnsi="Times New Roman" w:cs="Times New Roman"/>
                <w:b/>
                <w:bCs/>
                <w:noProof/>
              </w:rPr>
              <w:t>6.1  Overall Churn Landscape</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_Toc235001492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9</w:t>
            </w:r>
            <w:r w:rsidRPr="00ED1409">
              <w:rPr>
                <w:rFonts w:ascii="Times New Roman" w:hAnsi="Times New Roman" w:cs="Times New Roman"/>
                <w:noProof/>
              </w:rPr>
              <w:fldChar w:fldCharType="end"/>
            </w:r>
          </w:hyperlink>
        </w:p>
        <w:p w14:paraId="1250F83C" w14:textId="77777777" w:rsidR="008F547A" w:rsidRPr="00ED1409" w:rsidRDefault="008F547A">
          <w:pPr>
            <w:pStyle w:val="TOC2"/>
            <w:tabs>
              <w:tab w:val="right" w:leader="dot" w:pos="9016"/>
            </w:tabs>
            <w:rPr>
              <w:rFonts w:ascii="Times New Roman" w:hAnsi="Times New Roman" w:cs="Times New Roman"/>
              <w:noProof/>
            </w:rPr>
          </w:pPr>
          <w:hyperlink w:anchor="_Toc235001493" w:history="1">
            <w:r w:rsidRPr="00ED1409">
              <w:rPr>
                <w:rStyle w:val="Hyperlink"/>
                <w:rFonts w:ascii="Times New Roman" w:hAnsi="Times New Roman" w:cs="Times New Roman"/>
                <w:b/>
                <w:bCs/>
                <w:noProof/>
              </w:rPr>
              <w:t>6.2  Engagement Classification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_Toc235001493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10</w:t>
            </w:r>
            <w:r w:rsidRPr="00ED1409">
              <w:rPr>
                <w:rFonts w:ascii="Times New Roman" w:hAnsi="Times New Roman" w:cs="Times New Roman"/>
                <w:noProof/>
              </w:rPr>
              <w:fldChar w:fldCharType="end"/>
            </w:r>
          </w:hyperlink>
        </w:p>
        <w:p w14:paraId="474FC8BF" w14:textId="77777777" w:rsidR="008F547A" w:rsidRPr="00ED1409" w:rsidRDefault="008F547A">
          <w:pPr>
            <w:pStyle w:val="TOC2"/>
            <w:tabs>
              <w:tab w:val="right" w:leader="dot" w:pos="9016"/>
            </w:tabs>
            <w:rPr>
              <w:rFonts w:ascii="Times New Roman" w:hAnsi="Times New Roman" w:cs="Times New Roman"/>
              <w:noProof/>
            </w:rPr>
          </w:pPr>
          <w:hyperlink w:anchor="_Toc235001494" w:history="1">
            <w:r w:rsidRPr="00ED1409">
              <w:rPr>
                <w:rStyle w:val="Hyperlink"/>
                <w:rFonts w:ascii="Times New Roman" w:hAnsi="Times New Roman" w:cs="Times New Roman"/>
                <w:b/>
                <w:bCs/>
                <w:noProof/>
              </w:rPr>
              <w:t>6.3  Product Utilization Analysis — The Product Depth Paradox</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_Toc235001494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11</w:t>
            </w:r>
            <w:r w:rsidRPr="00ED1409">
              <w:rPr>
                <w:rFonts w:ascii="Times New Roman" w:hAnsi="Times New Roman" w:cs="Times New Roman"/>
                <w:noProof/>
              </w:rPr>
              <w:fldChar w:fldCharType="end"/>
            </w:r>
          </w:hyperlink>
        </w:p>
        <w:p w14:paraId="5AD53501" w14:textId="77777777" w:rsidR="008F547A" w:rsidRPr="00ED1409" w:rsidRDefault="008F547A">
          <w:pPr>
            <w:pStyle w:val="TOC2"/>
            <w:tabs>
              <w:tab w:val="right" w:leader="dot" w:pos="9016"/>
            </w:tabs>
            <w:rPr>
              <w:rFonts w:ascii="Times New Roman" w:hAnsi="Times New Roman" w:cs="Times New Roman"/>
              <w:noProof/>
            </w:rPr>
          </w:pPr>
          <w:hyperlink w:anchor="_Toc235001495" w:history="1">
            <w:r w:rsidRPr="00ED1409">
              <w:rPr>
                <w:rStyle w:val="Hyperlink"/>
                <w:rFonts w:ascii="Times New Roman" w:hAnsi="Times New Roman" w:cs="Times New Roman"/>
                <w:b/>
                <w:bCs/>
                <w:noProof/>
              </w:rPr>
              <w:t>6.4  Financial Commitment vs. Engagement Analysis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_Toc235001495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12</w:t>
            </w:r>
            <w:r w:rsidRPr="00ED1409">
              <w:rPr>
                <w:rFonts w:ascii="Times New Roman" w:hAnsi="Times New Roman" w:cs="Times New Roman"/>
                <w:noProof/>
              </w:rPr>
              <w:fldChar w:fldCharType="end"/>
            </w:r>
          </w:hyperlink>
        </w:p>
        <w:p w14:paraId="405F5D9A" w14:textId="77777777" w:rsidR="008F547A" w:rsidRPr="00ED1409" w:rsidRDefault="008F547A">
          <w:pPr>
            <w:pStyle w:val="TOC2"/>
            <w:tabs>
              <w:tab w:val="right" w:leader="dot" w:pos="9016"/>
            </w:tabs>
            <w:rPr>
              <w:rFonts w:ascii="Times New Roman" w:hAnsi="Times New Roman" w:cs="Times New Roman"/>
              <w:noProof/>
            </w:rPr>
          </w:pPr>
          <w:hyperlink w:anchor="_Toc235001496" w:history="1">
            <w:r w:rsidRPr="00ED1409">
              <w:rPr>
                <w:rStyle w:val="Hyperlink"/>
                <w:rFonts w:ascii="Times New Roman" w:hAnsi="Times New Roman" w:cs="Times New Roman"/>
                <w:b/>
                <w:bCs/>
                <w:noProof/>
              </w:rPr>
              <w:t>6.5  Retention Strength Assessment — The Relationship Strength Index</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_Toc235001496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13</w:t>
            </w:r>
            <w:r w:rsidRPr="00ED1409">
              <w:rPr>
                <w:rFonts w:ascii="Times New Roman" w:hAnsi="Times New Roman" w:cs="Times New Roman"/>
                <w:noProof/>
              </w:rPr>
              <w:fldChar w:fldCharType="end"/>
            </w:r>
          </w:hyperlink>
        </w:p>
        <w:p w14:paraId="2596A88D" w14:textId="77777777" w:rsidR="008F547A" w:rsidRPr="00ED1409" w:rsidRDefault="008F547A">
          <w:pPr>
            <w:pStyle w:val="TOC2"/>
            <w:tabs>
              <w:tab w:val="right" w:leader="dot" w:pos="9016"/>
            </w:tabs>
            <w:rPr>
              <w:rFonts w:ascii="Times New Roman" w:hAnsi="Times New Roman" w:cs="Times New Roman"/>
              <w:noProof/>
            </w:rPr>
          </w:pPr>
          <w:hyperlink w:anchor="_Toc235001497" w:history="1">
            <w:r w:rsidRPr="00ED1409">
              <w:rPr>
                <w:rStyle w:val="Hyperlink"/>
                <w:rFonts w:ascii="Times New Roman" w:hAnsi="Times New Roman" w:cs="Times New Roman"/>
                <w:b/>
                <w:bCs/>
                <w:noProof/>
              </w:rPr>
              <w:t>6.6  Supporting Demographic &amp; Geographic Patterns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_Toc235001497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14</w:t>
            </w:r>
            <w:r w:rsidRPr="00ED1409">
              <w:rPr>
                <w:rFonts w:ascii="Times New Roman" w:hAnsi="Times New Roman" w:cs="Times New Roman"/>
                <w:noProof/>
              </w:rPr>
              <w:fldChar w:fldCharType="end"/>
            </w:r>
          </w:hyperlink>
        </w:p>
        <w:p w14:paraId="1FCCE744" w14:textId="77777777" w:rsidR="008F547A" w:rsidRPr="00ED1409" w:rsidRDefault="008F547A">
          <w:pPr>
            <w:pStyle w:val="TOC1"/>
            <w:tabs>
              <w:tab w:val="right" w:leader="dot" w:pos="9016"/>
            </w:tabs>
            <w:rPr>
              <w:rFonts w:ascii="Times New Roman" w:hAnsi="Times New Roman" w:cs="Times New Roman"/>
              <w:noProof/>
            </w:rPr>
          </w:pPr>
          <w:hyperlink w:anchor="_Toc235001498" w:history="1">
            <w:r w:rsidRPr="00ED1409">
              <w:rPr>
                <w:rStyle w:val="Hyperlink"/>
                <w:rFonts w:ascii="Times New Roman" w:hAnsi="Times New Roman" w:cs="Times New Roman"/>
                <w:b/>
                <w:bCs/>
                <w:noProof/>
              </w:rPr>
              <w:t>7. Key Performance Indicators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_Toc235001498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16</w:t>
            </w:r>
            <w:r w:rsidRPr="00ED1409">
              <w:rPr>
                <w:rFonts w:ascii="Times New Roman" w:hAnsi="Times New Roman" w:cs="Times New Roman"/>
                <w:noProof/>
              </w:rPr>
              <w:fldChar w:fldCharType="end"/>
            </w:r>
          </w:hyperlink>
        </w:p>
        <w:p w14:paraId="12D0DE78" w14:textId="77777777" w:rsidR="008F547A" w:rsidRPr="00ED1409" w:rsidRDefault="008F547A">
          <w:pPr>
            <w:pStyle w:val="TOC2"/>
            <w:tabs>
              <w:tab w:val="right" w:leader="dot" w:pos="9016"/>
            </w:tabs>
            <w:rPr>
              <w:rFonts w:ascii="Times New Roman" w:hAnsi="Times New Roman" w:cs="Times New Roman"/>
              <w:noProof/>
            </w:rPr>
          </w:pPr>
          <w:hyperlink w:anchor="_Toc235001499" w:history="1">
            <w:r w:rsidRPr="00ED1409">
              <w:rPr>
                <w:rStyle w:val="Hyperlink"/>
                <w:rFonts w:ascii="Times New Roman" w:hAnsi="Times New Roman" w:cs="Times New Roman"/>
                <w:b/>
                <w:bCs/>
                <w:noProof/>
              </w:rPr>
              <w:t>Interpretation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_Toc235001499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16</w:t>
            </w:r>
            <w:r w:rsidRPr="00ED1409">
              <w:rPr>
                <w:rFonts w:ascii="Times New Roman" w:hAnsi="Times New Roman" w:cs="Times New Roman"/>
                <w:noProof/>
              </w:rPr>
              <w:fldChar w:fldCharType="end"/>
            </w:r>
          </w:hyperlink>
        </w:p>
        <w:p w14:paraId="71F34EFF" w14:textId="77777777" w:rsidR="008F547A" w:rsidRPr="00ED1409" w:rsidRDefault="008F547A">
          <w:pPr>
            <w:pStyle w:val="TOC1"/>
            <w:tabs>
              <w:tab w:val="right" w:leader="dot" w:pos="9016"/>
            </w:tabs>
            <w:rPr>
              <w:rFonts w:ascii="Times New Roman" w:hAnsi="Times New Roman" w:cs="Times New Roman"/>
              <w:noProof/>
            </w:rPr>
          </w:pPr>
          <w:hyperlink w:anchor="_Toc235001500" w:history="1">
            <w:r w:rsidRPr="00ED1409">
              <w:rPr>
                <w:rStyle w:val="Hyperlink"/>
                <w:rFonts w:ascii="Times New Roman" w:hAnsi="Times New Roman" w:cs="Times New Roman"/>
                <w:b/>
                <w:bCs/>
                <w:noProof/>
              </w:rPr>
              <w:t>8. Recommendations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_Toc235001500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17</w:t>
            </w:r>
            <w:r w:rsidRPr="00ED1409">
              <w:rPr>
                <w:rFonts w:ascii="Times New Roman" w:hAnsi="Times New Roman" w:cs="Times New Roman"/>
                <w:noProof/>
              </w:rPr>
              <w:fldChar w:fldCharType="end"/>
            </w:r>
          </w:hyperlink>
        </w:p>
        <w:p w14:paraId="1E2A8FB0" w14:textId="77777777" w:rsidR="008F547A" w:rsidRPr="00ED1409" w:rsidRDefault="008F547A">
          <w:pPr>
            <w:pStyle w:val="TOC2"/>
            <w:tabs>
              <w:tab w:val="right" w:leader="dot" w:pos="9016"/>
            </w:tabs>
            <w:rPr>
              <w:rFonts w:ascii="Times New Roman" w:hAnsi="Times New Roman" w:cs="Times New Roman"/>
              <w:noProof/>
            </w:rPr>
          </w:pPr>
          <w:hyperlink w:anchor="_Toc235001501" w:history="1">
            <w:r w:rsidRPr="00ED1409">
              <w:rPr>
                <w:rStyle w:val="Hyperlink"/>
                <w:rFonts w:ascii="Times New Roman" w:hAnsi="Times New Roman" w:cs="Times New Roman"/>
                <w:b/>
                <w:bCs/>
                <w:noProof/>
              </w:rPr>
              <w:t>8.1  Engagement-Driven Retention Initiatives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_Toc235001501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17</w:t>
            </w:r>
            <w:r w:rsidRPr="00ED1409">
              <w:rPr>
                <w:rFonts w:ascii="Times New Roman" w:hAnsi="Times New Roman" w:cs="Times New Roman"/>
                <w:noProof/>
              </w:rPr>
              <w:fldChar w:fldCharType="end"/>
            </w:r>
          </w:hyperlink>
        </w:p>
        <w:p w14:paraId="61D720F0" w14:textId="77777777" w:rsidR="008F547A" w:rsidRPr="00ED1409" w:rsidRDefault="008F547A">
          <w:pPr>
            <w:pStyle w:val="TOC2"/>
            <w:tabs>
              <w:tab w:val="right" w:leader="dot" w:pos="9016"/>
            </w:tabs>
            <w:rPr>
              <w:rFonts w:ascii="Times New Roman" w:hAnsi="Times New Roman" w:cs="Times New Roman"/>
              <w:noProof/>
            </w:rPr>
          </w:pPr>
          <w:hyperlink w:anchor="_Toc235001502" w:history="1">
            <w:r w:rsidRPr="00ED1409">
              <w:rPr>
                <w:rStyle w:val="Hyperlink"/>
                <w:rFonts w:ascii="Times New Roman" w:hAnsi="Times New Roman" w:cs="Times New Roman"/>
                <w:b/>
                <w:bCs/>
                <w:noProof/>
              </w:rPr>
              <w:t>8.2  Product Bundling Strategy</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_Toc235001502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17</w:t>
            </w:r>
            <w:r w:rsidRPr="00ED1409">
              <w:rPr>
                <w:rFonts w:ascii="Times New Roman" w:hAnsi="Times New Roman" w:cs="Times New Roman"/>
                <w:noProof/>
              </w:rPr>
              <w:fldChar w:fldCharType="end"/>
            </w:r>
          </w:hyperlink>
        </w:p>
        <w:p w14:paraId="15177467" w14:textId="77777777" w:rsidR="008F547A" w:rsidRPr="00ED1409" w:rsidRDefault="008F547A">
          <w:pPr>
            <w:pStyle w:val="TOC2"/>
            <w:tabs>
              <w:tab w:val="right" w:leader="dot" w:pos="9016"/>
            </w:tabs>
            <w:rPr>
              <w:rFonts w:ascii="Times New Roman" w:hAnsi="Times New Roman" w:cs="Times New Roman"/>
              <w:noProof/>
            </w:rPr>
          </w:pPr>
          <w:hyperlink w:anchor="_Toc235001503" w:history="1">
            <w:r w:rsidRPr="00ED1409">
              <w:rPr>
                <w:rStyle w:val="Hyperlink"/>
                <w:rFonts w:ascii="Times New Roman" w:hAnsi="Times New Roman" w:cs="Times New Roman"/>
                <w:b/>
                <w:bCs/>
                <w:noProof/>
              </w:rPr>
              <w:t>8.3  Loyalty Program Design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_Toc235001503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17</w:t>
            </w:r>
            <w:r w:rsidRPr="00ED1409">
              <w:rPr>
                <w:rFonts w:ascii="Times New Roman" w:hAnsi="Times New Roman" w:cs="Times New Roman"/>
                <w:noProof/>
              </w:rPr>
              <w:fldChar w:fldCharType="end"/>
            </w:r>
          </w:hyperlink>
        </w:p>
        <w:p w14:paraId="3FD94565" w14:textId="77777777" w:rsidR="008F547A" w:rsidRPr="00ED1409" w:rsidRDefault="008F547A">
          <w:pPr>
            <w:pStyle w:val="TOC2"/>
            <w:tabs>
              <w:tab w:val="right" w:leader="dot" w:pos="9016"/>
            </w:tabs>
            <w:rPr>
              <w:rFonts w:ascii="Times New Roman" w:hAnsi="Times New Roman" w:cs="Times New Roman"/>
              <w:noProof/>
            </w:rPr>
          </w:pPr>
          <w:hyperlink w:anchor="_Toc235001504" w:history="1">
            <w:r w:rsidRPr="00ED1409">
              <w:rPr>
                <w:rStyle w:val="Hyperlink"/>
                <w:rFonts w:ascii="Times New Roman" w:hAnsi="Times New Roman" w:cs="Times New Roman"/>
                <w:b/>
                <w:bCs/>
                <w:noProof/>
              </w:rPr>
              <w:t>8.4  Monitoring &amp; Governance</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_Toc235001504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17</w:t>
            </w:r>
            <w:r w:rsidRPr="00ED1409">
              <w:rPr>
                <w:rFonts w:ascii="Times New Roman" w:hAnsi="Times New Roman" w:cs="Times New Roman"/>
                <w:noProof/>
              </w:rPr>
              <w:fldChar w:fldCharType="end"/>
            </w:r>
          </w:hyperlink>
        </w:p>
        <w:p w14:paraId="0D481374" w14:textId="77777777" w:rsidR="008F547A" w:rsidRPr="00ED1409" w:rsidRDefault="008F547A">
          <w:pPr>
            <w:pStyle w:val="TOC1"/>
            <w:tabs>
              <w:tab w:val="right" w:leader="dot" w:pos="9016"/>
            </w:tabs>
            <w:rPr>
              <w:rFonts w:ascii="Times New Roman" w:hAnsi="Times New Roman" w:cs="Times New Roman"/>
              <w:noProof/>
            </w:rPr>
          </w:pPr>
          <w:hyperlink w:anchor="_Toc235001505" w:history="1">
            <w:r w:rsidRPr="00ED1409">
              <w:rPr>
                <w:rStyle w:val="Hyperlink"/>
                <w:rFonts w:ascii="Times New Roman" w:hAnsi="Times New Roman" w:cs="Times New Roman"/>
                <w:b/>
                <w:bCs/>
                <w:noProof/>
              </w:rPr>
              <w:t>9. Conclusion</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_Toc235001505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18</w:t>
            </w:r>
            <w:r w:rsidRPr="00ED1409">
              <w:rPr>
                <w:rFonts w:ascii="Times New Roman" w:hAnsi="Times New Roman" w:cs="Times New Roman"/>
                <w:noProof/>
              </w:rPr>
              <w:fldChar w:fldCharType="end"/>
            </w:r>
          </w:hyperlink>
        </w:p>
        <w:p w14:paraId="211F01DD" w14:textId="77777777" w:rsidR="008F547A" w:rsidRPr="00ED1409" w:rsidRDefault="008F547A">
          <w:pPr>
            <w:pStyle w:val="TOC1"/>
            <w:tabs>
              <w:tab w:val="right" w:leader="dot" w:pos="9016"/>
            </w:tabs>
            <w:rPr>
              <w:rFonts w:ascii="Times New Roman" w:hAnsi="Times New Roman" w:cs="Times New Roman"/>
              <w:noProof/>
            </w:rPr>
          </w:pPr>
          <w:hyperlink w:anchor="_Toc235001506" w:history="1">
            <w:r w:rsidRPr="00ED1409">
              <w:rPr>
                <w:rStyle w:val="Hyperlink"/>
                <w:rFonts w:ascii="Times New Roman" w:hAnsi="Times New Roman" w:cs="Times New Roman"/>
                <w:b/>
                <w:bCs/>
                <w:noProof/>
              </w:rPr>
              <w:t>Appendix A: Segment &amp; KPI Definitions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_Toc235001506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19</w:t>
            </w:r>
            <w:r w:rsidRPr="00ED1409">
              <w:rPr>
                <w:rFonts w:ascii="Times New Roman" w:hAnsi="Times New Roman" w:cs="Times New Roman"/>
                <w:noProof/>
              </w:rPr>
              <w:fldChar w:fldCharType="end"/>
            </w:r>
          </w:hyperlink>
        </w:p>
        <w:p w14:paraId="3D974205" w14:textId="77777777" w:rsidR="008F547A" w:rsidRPr="00ED1409" w:rsidRDefault="008F547A">
          <w:pPr>
            <w:pStyle w:val="TOC2"/>
            <w:tabs>
              <w:tab w:val="right" w:leader="dot" w:pos="9016"/>
            </w:tabs>
            <w:rPr>
              <w:rFonts w:ascii="Times New Roman" w:hAnsi="Times New Roman" w:cs="Times New Roman"/>
              <w:noProof/>
            </w:rPr>
          </w:pPr>
          <w:hyperlink w:anchor="_Toc235001507" w:history="1">
            <w:r w:rsidRPr="00ED1409">
              <w:rPr>
                <w:rStyle w:val="Hyperlink"/>
                <w:rFonts w:ascii="Times New Roman" w:hAnsi="Times New Roman" w:cs="Times New Roman"/>
                <w:b/>
                <w:bCs/>
                <w:noProof/>
              </w:rPr>
              <w:t>Engagement Profiles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_Toc235001507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19</w:t>
            </w:r>
            <w:r w:rsidRPr="00ED1409">
              <w:rPr>
                <w:rFonts w:ascii="Times New Roman" w:hAnsi="Times New Roman" w:cs="Times New Roman"/>
                <w:noProof/>
              </w:rPr>
              <w:fldChar w:fldCharType="end"/>
            </w:r>
          </w:hyperlink>
        </w:p>
        <w:p w14:paraId="6ECC7F46" w14:textId="77777777" w:rsidR="008F547A" w:rsidRPr="00ED1409" w:rsidRDefault="008F547A">
          <w:pPr>
            <w:pStyle w:val="TOC2"/>
            <w:tabs>
              <w:tab w:val="right" w:leader="dot" w:pos="9016"/>
            </w:tabs>
            <w:rPr>
              <w:rFonts w:ascii="Times New Roman" w:hAnsi="Times New Roman" w:cs="Times New Roman"/>
              <w:noProof/>
            </w:rPr>
          </w:pPr>
          <w:hyperlink w:anchor="_Toc235001508" w:history="1">
            <w:r w:rsidRPr="00ED1409">
              <w:rPr>
                <w:rStyle w:val="Hyperlink"/>
                <w:rFonts w:ascii="Times New Roman" w:hAnsi="Times New Roman" w:cs="Times New Roman"/>
                <w:b/>
                <w:bCs/>
                <w:noProof/>
              </w:rPr>
              <w:t>Relationship Strength Index (RSI) Scoring Rule</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_Toc235001508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19</w:t>
            </w:r>
            <w:r w:rsidRPr="00ED1409">
              <w:rPr>
                <w:rFonts w:ascii="Times New Roman" w:hAnsi="Times New Roman" w:cs="Times New Roman"/>
                <w:noProof/>
              </w:rPr>
              <w:fldChar w:fldCharType="end"/>
            </w:r>
          </w:hyperlink>
        </w:p>
        <w:p w14:paraId="363B88E1" w14:textId="77777777" w:rsidR="008F547A" w:rsidRPr="00ED1409" w:rsidRDefault="008F547A">
          <w:pPr>
            <w:pStyle w:val="TOC2"/>
            <w:tabs>
              <w:tab w:val="right" w:leader="dot" w:pos="9016"/>
            </w:tabs>
            <w:rPr>
              <w:rFonts w:ascii="Times New Roman" w:hAnsi="Times New Roman" w:cs="Times New Roman"/>
              <w:noProof/>
            </w:rPr>
          </w:pPr>
          <w:hyperlink w:anchor="_Toc235001509" w:history="1">
            <w:r w:rsidRPr="00ED1409">
              <w:rPr>
                <w:rStyle w:val="Hyperlink"/>
                <w:rFonts w:ascii="Times New Roman" w:hAnsi="Times New Roman" w:cs="Times New Roman"/>
                <w:b/>
                <w:bCs/>
                <w:noProof/>
              </w:rPr>
              <w:t>High-Balance Threshold</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_Toc235001509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19</w:t>
            </w:r>
            <w:r w:rsidRPr="00ED1409">
              <w:rPr>
                <w:rFonts w:ascii="Times New Roman" w:hAnsi="Times New Roman" w:cs="Times New Roman"/>
                <w:noProof/>
              </w:rPr>
              <w:fldChar w:fldCharType="end"/>
            </w:r>
          </w:hyperlink>
        </w:p>
        <w:p w14:paraId="24FF01AC" w14:textId="77777777" w:rsidR="008F547A" w:rsidRPr="00ED1409" w:rsidRDefault="008F547A">
          <w:pPr>
            <w:pStyle w:val="TOC1"/>
            <w:tabs>
              <w:tab w:val="right" w:leader="dot" w:pos="9016"/>
            </w:tabs>
            <w:rPr>
              <w:rFonts w:ascii="Times New Roman" w:hAnsi="Times New Roman" w:cs="Times New Roman"/>
              <w:noProof/>
            </w:rPr>
          </w:pPr>
          <w:hyperlink w:anchor="_Toc235001510" w:history="1">
            <w:r w:rsidRPr="00ED1409">
              <w:rPr>
                <w:rStyle w:val="Hyperlink"/>
                <w:rFonts w:ascii="Times New Roman" w:hAnsi="Times New Roman" w:cs="Times New Roman"/>
                <w:b/>
                <w:bCs/>
                <w:noProof/>
              </w:rPr>
              <w:t>Appendix B: Supplementary Statistical Tables</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_Toc235001510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20</w:t>
            </w:r>
            <w:r w:rsidRPr="00ED1409">
              <w:rPr>
                <w:rFonts w:ascii="Times New Roman" w:hAnsi="Times New Roman" w:cs="Times New Roman"/>
                <w:noProof/>
              </w:rPr>
              <w:fldChar w:fldCharType="end"/>
            </w:r>
          </w:hyperlink>
        </w:p>
        <w:p w14:paraId="65EFE678" w14:textId="77777777" w:rsidR="008F547A" w:rsidRPr="00ED1409" w:rsidRDefault="008F547A">
          <w:pPr>
            <w:pStyle w:val="TOC2"/>
            <w:tabs>
              <w:tab w:val="right" w:leader="dot" w:pos="9016"/>
            </w:tabs>
            <w:rPr>
              <w:rFonts w:ascii="Times New Roman" w:hAnsi="Times New Roman" w:cs="Times New Roman"/>
              <w:noProof/>
            </w:rPr>
          </w:pPr>
          <w:hyperlink w:anchor="_Toc235001511" w:history="1">
            <w:r w:rsidRPr="00ED1409">
              <w:rPr>
                <w:rStyle w:val="Hyperlink"/>
                <w:rFonts w:ascii="Times New Roman" w:hAnsi="Times New Roman" w:cs="Times New Roman"/>
                <w:b/>
                <w:bCs/>
                <w:noProof/>
              </w:rPr>
              <w:t>Balance &amp; Product Averages by Outcome</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_Toc235001511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20</w:t>
            </w:r>
            <w:r w:rsidRPr="00ED1409">
              <w:rPr>
                <w:rFonts w:ascii="Times New Roman" w:hAnsi="Times New Roman" w:cs="Times New Roman"/>
                <w:noProof/>
              </w:rPr>
              <w:fldChar w:fldCharType="end"/>
            </w:r>
          </w:hyperlink>
        </w:p>
        <w:p w14:paraId="3F697245" w14:textId="77777777" w:rsidR="008F547A" w:rsidRPr="00ED1409" w:rsidRDefault="008F547A">
          <w:pPr>
            <w:pStyle w:val="TOC2"/>
            <w:tabs>
              <w:tab w:val="right" w:leader="dot" w:pos="9016"/>
            </w:tabs>
            <w:rPr>
              <w:rFonts w:ascii="Times New Roman" w:hAnsi="Times New Roman" w:cs="Times New Roman"/>
              <w:noProof/>
            </w:rPr>
          </w:pPr>
          <w:hyperlink w:anchor="_Toc235001512" w:history="1">
            <w:r w:rsidRPr="00ED1409">
              <w:rPr>
                <w:rStyle w:val="Hyperlink"/>
                <w:rFonts w:ascii="Times New Roman" w:hAnsi="Times New Roman" w:cs="Times New Roman"/>
                <w:b/>
                <w:bCs/>
                <w:noProof/>
              </w:rPr>
              <w:t>Churn Rate by Age Band (Full Detail)</w:t>
            </w:r>
            <w:r w:rsidRPr="00ED1409">
              <w:rPr>
                <w:rFonts w:ascii="Times New Roman" w:hAnsi="Times New Roman" w:cs="Times New Roman"/>
                <w:noProof/>
              </w:rPr>
              <w:tab/>
            </w:r>
            <w:r w:rsidRPr="00ED1409">
              <w:rPr>
                <w:rFonts w:ascii="Times New Roman" w:hAnsi="Times New Roman" w:cs="Times New Roman"/>
                <w:noProof/>
              </w:rPr>
              <w:fldChar w:fldCharType="begin"/>
            </w:r>
            <w:r w:rsidRPr="00ED1409">
              <w:rPr>
                <w:rFonts w:ascii="Times New Roman" w:hAnsi="Times New Roman" w:cs="Times New Roman"/>
                <w:noProof/>
              </w:rPr>
              <w:instrText xml:space="preserve"> PAGEREF _Toc235001512 \h </w:instrText>
            </w:r>
            <w:r w:rsidRPr="00ED1409">
              <w:rPr>
                <w:rFonts w:ascii="Times New Roman" w:hAnsi="Times New Roman" w:cs="Times New Roman"/>
                <w:noProof/>
              </w:rPr>
            </w:r>
            <w:r w:rsidRPr="00ED1409">
              <w:rPr>
                <w:rFonts w:ascii="Times New Roman" w:hAnsi="Times New Roman" w:cs="Times New Roman"/>
                <w:noProof/>
              </w:rPr>
              <w:fldChar w:fldCharType="separate"/>
            </w:r>
            <w:r w:rsidRPr="00ED1409">
              <w:rPr>
                <w:rFonts w:ascii="Times New Roman" w:hAnsi="Times New Roman" w:cs="Times New Roman"/>
                <w:noProof/>
              </w:rPr>
              <w:t>20</w:t>
            </w:r>
            <w:r w:rsidRPr="00ED1409">
              <w:rPr>
                <w:rFonts w:ascii="Times New Roman" w:hAnsi="Times New Roman" w:cs="Times New Roman"/>
                <w:noProof/>
              </w:rPr>
              <w:fldChar w:fldCharType="end"/>
            </w:r>
          </w:hyperlink>
        </w:p>
        <w:p w14:paraId="2C2A1AA8" w14:textId="77777777" w:rsidR="008F547A" w:rsidRPr="00ED1409" w:rsidRDefault="009F5187" w:rsidP="008F547A">
          <w:pPr>
            <w:rPr>
              <w:rFonts w:ascii="Times New Roman" w:hAnsi="Times New Roman" w:cs="Times New Roman"/>
            </w:rPr>
          </w:pPr>
          <w:r w:rsidRPr="00ED1409">
            <w:rPr>
              <w:rFonts w:ascii="Times New Roman" w:hAnsi="Times New Roman" w:cs="Times New Roman"/>
            </w:rPr>
            <w:fldChar w:fldCharType="end"/>
          </w:r>
        </w:p>
        <w:p w14:paraId="457ED08C" w14:textId="77777777" w:rsidR="008F547A" w:rsidRPr="00ED1409" w:rsidRDefault="009F5187" w:rsidP="008F547A">
          <w:pPr>
            <w:rPr>
              <w:rFonts w:ascii="Times New Roman" w:hAnsi="Times New Roman" w:cs="Times New Roman"/>
            </w:rPr>
          </w:pPr>
        </w:p>
      </w:sdtContent>
    </w:sdt>
    <w:bookmarkStart w:id="1" w:name="_Toc235001477" w:displacedByCustomXml="prev"/>
    <w:p w14:paraId="1E6DECEB" w14:textId="746A46C6" w:rsidR="00C83590" w:rsidRPr="00ED1409" w:rsidRDefault="009F5187" w:rsidP="008F547A">
      <w:pPr>
        <w:rPr>
          <w:rFonts w:ascii="Times New Roman" w:hAnsi="Times New Roman" w:cs="Times New Roman"/>
        </w:rPr>
      </w:pPr>
      <w:r w:rsidRPr="00ED1409">
        <w:rPr>
          <w:rFonts w:ascii="Times New Roman" w:hAnsi="Times New Roman" w:cs="Times New Roman"/>
          <w:b/>
          <w:bCs/>
          <w:color w:val="1B2A4A"/>
          <w:sz w:val="32"/>
          <w:szCs w:val="32"/>
        </w:rPr>
        <w:lastRenderedPageBreak/>
        <w:t>Executive Summary</w:t>
      </w:r>
      <w:bookmarkEnd w:id="1"/>
    </w:p>
    <w:p w14:paraId="7A26B860"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This research paper examines </w:t>
      </w:r>
      <w:r w:rsidRPr="00ED1409">
        <w:rPr>
          <w:rFonts w:ascii="Times New Roman" w:hAnsi="Times New Roman" w:cs="Times New Roman"/>
          <w:b/>
          <w:bCs/>
          <w:sz w:val="22"/>
          <w:szCs w:val="22"/>
        </w:rPr>
        <w:t>10,000 retail banking customers</w:t>
      </w:r>
      <w:r w:rsidRPr="00ED1409">
        <w:rPr>
          <w:rFonts w:ascii="Times New Roman" w:hAnsi="Times New Roman" w:cs="Times New Roman"/>
          <w:sz w:val="22"/>
          <w:szCs w:val="22"/>
        </w:rPr>
        <w:t xml:space="preserve"> across France, Germany, and Spain to test a central hypothesis: that </w:t>
      </w:r>
      <w:r w:rsidRPr="00ED1409">
        <w:rPr>
          <w:rFonts w:ascii="Times New Roman" w:hAnsi="Times New Roman" w:cs="Times New Roman"/>
          <w:b/>
          <w:bCs/>
          <w:sz w:val="22"/>
          <w:szCs w:val="22"/>
        </w:rPr>
        <w:t>engagement and product depth — not wealth or demographics — are the true drivers of customer retention</w:t>
      </w:r>
      <w:r w:rsidRPr="00ED1409">
        <w:rPr>
          <w:rFonts w:ascii="Times New Roman" w:hAnsi="Times New Roman" w:cs="Times New Roman"/>
          <w:sz w:val="22"/>
          <w:szCs w:val="22"/>
        </w:rPr>
        <w:t xml:space="preserve">. The analysis confirms this hypothesis decisively and quantifies it through five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Key Performance Indicators (KPIs).</w:t>
      </w:r>
    </w:p>
    <w:p w14:paraId="3A7C463E"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Overall portfolio churn stands at </w:t>
      </w:r>
      <w:r w:rsidRPr="00ED1409">
        <w:rPr>
          <w:rFonts w:ascii="Times New Roman" w:hAnsi="Times New Roman" w:cs="Times New Roman"/>
          <w:b/>
          <w:bCs/>
          <w:sz w:val="22"/>
          <w:szCs w:val="22"/>
        </w:rPr>
        <w:t>20.4%</w:t>
      </w:r>
      <w:r w:rsidRPr="00ED1409">
        <w:rPr>
          <w:rFonts w:ascii="Times New Roman" w:hAnsi="Times New Roman" w:cs="Times New Roman"/>
          <w:sz w:val="22"/>
          <w:szCs w:val="22"/>
        </w:rPr>
        <w:t xml:space="preserve"> (2,037 customers). Inactive members churn at </w:t>
      </w:r>
      <w:r w:rsidRPr="00ED1409">
        <w:rPr>
          <w:rFonts w:ascii="Times New Roman" w:hAnsi="Times New Roman" w:cs="Times New Roman"/>
          <w:b/>
          <w:bCs/>
          <w:sz w:val="22"/>
          <w:szCs w:val="22"/>
        </w:rPr>
        <w:t>26.9%</w:t>
      </w:r>
      <w:r w:rsidRPr="00ED1409">
        <w:rPr>
          <w:rFonts w:ascii="Times New Roman" w:hAnsi="Times New Roman" w:cs="Times New Roman"/>
          <w:sz w:val="22"/>
          <w:szCs w:val="22"/>
        </w:rPr>
        <w:t xml:space="preserve">, nearly </w:t>
      </w:r>
      <w:r w:rsidRPr="00ED1409">
        <w:rPr>
          <w:rFonts w:ascii="Times New Roman" w:hAnsi="Times New Roman" w:cs="Times New Roman"/>
          <w:b/>
          <w:bCs/>
          <w:sz w:val="22"/>
          <w:szCs w:val="22"/>
        </w:rPr>
        <w:t>1.9 times</w:t>
      </w:r>
      <w:r w:rsidRPr="00ED1409">
        <w:rPr>
          <w:rFonts w:ascii="Times New Roman" w:hAnsi="Times New Roman" w:cs="Times New Roman"/>
          <w:sz w:val="22"/>
          <w:szCs w:val="22"/>
        </w:rPr>
        <w:t xml:space="preserve"> the rate of active members (</w:t>
      </w:r>
      <w:r w:rsidRPr="00ED1409">
        <w:rPr>
          <w:rFonts w:ascii="Times New Roman" w:hAnsi="Times New Roman" w:cs="Times New Roman"/>
          <w:b/>
          <w:bCs/>
          <w:sz w:val="22"/>
          <w:szCs w:val="22"/>
        </w:rPr>
        <w:t>14.3%</w:t>
      </w:r>
      <w:r w:rsidRPr="00ED1409">
        <w:rPr>
          <w:rFonts w:ascii="Times New Roman" w:hAnsi="Times New Roman" w:cs="Times New Roman"/>
          <w:sz w:val="22"/>
          <w:szCs w:val="22"/>
        </w:rPr>
        <w:t xml:space="preserve">). Product depth shows a striking non-linear pattern: customers holding </w:t>
      </w:r>
      <w:r w:rsidRPr="00ED1409">
        <w:rPr>
          <w:rFonts w:ascii="Times New Roman" w:hAnsi="Times New Roman" w:cs="Times New Roman"/>
          <w:b/>
          <w:bCs/>
          <w:sz w:val="22"/>
          <w:szCs w:val="22"/>
        </w:rPr>
        <w:t xml:space="preserve">two products </w:t>
      </w:r>
      <w:proofErr w:type="gramStart"/>
      <w:r w:rsidRPr="00ED1409">
        <w:rPr>
          <w:rFonts w:ascii="Times New Roman" w:hAnsi="Times New Roman" w:cs="Times New Roman"/>
          <w:b/>
          <w:bCs/>
          <w:sz w:val="22"/>
          <w:szCs w:val="22"/>
        </w:rPr>
        <w:t>churn</w:t>
      </w:r>
      <w:proofErr w:type="gramEnd"/>
      <w:r w:rsidRPr="00ED1409">
        <w:rPr>
          <w:rFonts w:ascii="Times New Roman" w:hAnsi="Times New Roman" w:cs="Times New Roman"/>
          <w:b/>
          <w:bCs/>
          <w:sz w:val="22"/>
          <w:szCs w:val="22"/>
        </w:rPr>
        <w:t xml:space="preserve"> at just 7.6%</w:t>
      </w:r>
      <w:r w:rsidRPr="00ED1409">
        <w:rPr>
          <w:rFonts w:ascii="Times New Roman" w:hAnsi="Times New Roman" w:cs="Times New Roman"/>
          <w:sz w:val="22"/>
          <w:szCs w:val="22"/>
        </w:rPr>
        <w:t xml:space="preserve"> — the healthiest tier in the portfolio — while customers holding </w:t>
      </w:r>
      <w:r w:rsidRPr="00ED1409">
        <w:rPr>
          <w:rFonts w:ascii="Times New Roman" w:hAnsi="Times New Roman" w:cs="Times New Roman"/>
          <w:b/>
          <w:bCs/>
          <w:sz w:val="22"/>
          <w:szCs w:val="22"/>
        </w:rPr>
        <w:t>three or more products churn at 85.9%</w:t>
      </w:r>
      <w:r w:rsidRPr="00ED1409">
        <w:rPr>
          <w:rFonts w:ascii="Times New Roman" w:hAnsi="Times New Roman" w:cs="Times New Roman"/>
          <w:sz w:val="22"/>
          <w:szCs w:val="22"/>
        </w:rPr>
        <w:t xml:space="preserve">, a signal of distressed, over-exposed relationships rather than loyalty. Nearly </w:t>
      </w:r>
      <w:r w:rsidRPr="00ED1409">
        <w:rPr>
          <w:rFonts w:ascii="Times New Roman" w:hAnsi="Times New Roman" w:cs="Times New Roman"/>
          <w:b/>
          <w:bCs/>
          <w:sz w:val="22"/>
          <w:szCs w:val="22"/>
        </w:rPr>
        <w:t>half of all high-balance customers (49.9%) are disengaged</w:t>
      </w:r>
      <w:r w:rsidRPr="00ED1409">
        <w:rPr>
          <w:rFonts w:ascii="Times New Roman" w:hAnsi="Times New Roman" w:cs="Times New Roman"/>
          <w:sz w:val="22"/>
          <w:szCs w:val="22"/>
        </w:rPr>
        <w:t xml:space="preserve">, and this inactive-premium segment alone holds </w:t>
      </w:r>
      <w:r w:rsidRPr="00ED1409">
        <w:rPr>
          <w:rFonts w:ascii="Times New Roman" w:hAnsi="Times New Roman" w:cs="Times New Roman"/>
          <w:b/>
          <w:bCs/>
          <w:sz w:val="22"/>
          <w:szCs w:val="22"/>
        </w:rPr>
        <w:t>24.3% of total portfolio deposits</w:t>
      </w:r>
      <w:r w:rsidRPr="00ED1409">
        <w:rPr>
          <w:rFonts w:ascii="Times New Roman" w:hAnsi="Times New Roman" w:cs="Times New Roman"/>
          <w:sz w:val="22"/>
          <w:szCs w:val="22"/>
        </w:rPr>
        <w:t xml:space="preserve"> — confirming that balance size provides no inherent protection against silent churn. A composite Relationship Strength Index (RSI) built from engagement, product tier, card ownership, and tenure shows a near-perfect gradient, from </w:t>
      </w:r>
      <w:r w:rsidRPr="00ED1409">
        <w:rPr>
          <w:rFonts w:ascii="Times New Roman" w:hAnsi="Times New Roman" w:cs="Times New Roman"/>
          <w:b/>
          <w:bCs/>
          <w:sz w:val="22"/>
          <w:szCs w:val="22"/>
        </w:rPr>
        <w:t>96% churn at the weakest score to just 5% churn at the strongest</w:t>
      </w:r>
      <w:r w:rsidRPr="00ED1409">
        <w:rPr>
          <w:rFonts w:ascii="Times New Roman" w:hAnsi="Times New Roman" w:cs="Times New Roman"/>
          <w:sz w:val="22"/>
          <w:szCs w:val="22"/>
        </w:rPr>
        <w:t>.</w:t>
      </w:r>
    </w:p>
    <w:p w14:paraId="4C9F8CAB"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These findings reframe retention strategy: rather than targeting customers by balance or salary, the Bank should prioritize </w:t>
      </w:r>
      <w:r w:rsidRPr="00ED1409">
        <w:rPr>
          <w:rFonts w:ascii="Times New Roman" w:hAnsi="Times New Roman" w:cs="Times New Roman"/>
          <w:b/>
          <w:bCs/>
          <w:sz w:val="22"/>
          <w:szCs w:val="22"/>
        </w:rPr>
        <w:t>activity-based engagement programs, a two-product bundling target, and proactive monitoring of disengaged premium accounts</w:t>
      </w:r>
      <w:r w:rsidRPr="00ED1409">
        <w:rPr>
          <w:rFonts w:ascii="Times New Roman" w:hAnsi="Times New Roman" w:cs="Times New Roman"/>
          <w:sz w:val="22"/>
          <w:szCs w:val="22"/>
        </w:rPr>
        <w:t>. Full recommendations are detailed in Section 8.</w:t>
      </w:r>
    </w:p>
    <w:p w14:paraId="1FE4554A"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15A8B135"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2" w:name="_Toc235001478"/>
      <w:r w:rsidRPr="00ED1409">
        <w:rPr>
          <w:rFonts w:ascii="Times New Roman" w:hAnsi="Times New Roman" w:cs="Times New Roman"/>
          <w:b/>
          <w:bCs/>
          <w:color w:val="1B2A4A"/>
        </w:rPr>
        <w:lastRenderedPageBreak/>
        <w:t>1. Background and Context</w:t>
      </w:r>
      <w:bookmarkEnd w:id="2"/>
    </w:p>
    <w:p w14:paraId="03A2F003"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Retail banks have historically approached customer retention through a demographic and financial lens — segmenting customers by age, income, or account balance and assuming that financially strong customers are inherently loyal. In practice, this assumption breaks down repeatedly: customers with high balances or strong salaries still churn when they feel disengaged, underserved, or poorly matched to the bank's product suite.</w:t>
      </w:r>
    </w:p>
    <w:p w14:paraId="1CDE4795"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This project reframes retention analysis around customer </w:t>
      </w:r>
      <w:proofErr w:type="spellStart"/>
      <w:r w:rsidRPr="00ED1409">
        <w:rPr>
          <w:rFonts w:ascii="Times New Roman" w:hAnsi="Times New Roman" w:cs="Times New Roman"/>
          <w:sz w:val="22"/>
          <w:szCs w:val="22"/>
        </w:rPr>
        <w:t>behavior</w:t>
      </w:r>
      <w:proofErr w:type="spellEnd"/>
      <w:r w:rsidRPr="00ED1409">
        <w:rPr>
          <w:rFonts w:ascii="Times New Roman" w:hAnsi="Times New Roman" w:cs="Times New Roman"/>
          <w:sz w:val="22"/>
          <w:szCs w:val="22"/>
        </w:rPr>
        <w:t xml:space="preserve"> and relationship depth rather than demographics alone. It treats engagement (measured through account activity) and product utilization (measured through the number and mix of products held) as the primary lenses through which churn should be understood, evaluated, and acted upon.</w:t>
      </w:r>
    </w:p>
    <w:p w14:paraId="166CE437"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The findings are intended to directly inform three areas of commercial decision-making at the Bank:</w:t>
      </w:r>
    </w:p>
    <w:p w14:paraId="6A7BD796"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Cross-sell strategy — identifying which product combinations strengthen, rather than strain, the customer relationship.</w:t>
      </w:r>
    </w:p>
    <w:p w14:paraId="2C0A8BE1"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 xml:space="preserve">Loyalty programs — targeting the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triggers (activity, tenure, product mix) that most reliably predict retention.</w:t>
      </w:r>
    </w:p>
    <w:p w14:paraId="2BA51047"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Engagement-driven retention initiatives — surfacing customers who look financially healthy on paper but are quietly disengaging.</w:t>
      </w:r>
    </w:p>
    <w:p w14:paraId="766E4FF4"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3" w:name="_Toc235001479"/>
      <w:r w:rsidRPr="00ED1409">
        <w:rPr>
          <w:rFonts w:ascii="Times New Roman" w:hAnsi="Times New Roman" w:cs="Times New Roman"/>
          <w:b/>
          <w:bCs/>
          <w:color w:val="1B2A4A"/>
        </w:rPr>
        <w:t>2. Problem Statement</w:t>
      </w:r>
      <w:bookmarkEnd w:id="3"/>
    </w:p>
    <w:p w14:paraId="00FE2D85"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Despite holding rich data on customer engagement and product usage, banks frequently lack three things:</w:t>
      </w:r>
    </w:p>
    <w:p w14:paraId="3224EDC1"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Quantitative insight </w:t>
      </w:r>
      <w:r w:rsidRPr="00ED1409">
        <w:rPr>
          <w:rFonts w:ascii="Times New Roman" w:hAnsi="Times New Roman" w:cs="Times New Roman"/>
          <w:sz w:val="22"/>
          <w:szCs w:val="22"/>
        </w:rPr>
        <w:t xml:space="preserve">into which specific </w:t>
      </w:r>
      <w:proofErr w:type="spellStart"/>
      <w:r w:rsidRPr="00ED1409">
        <w:rPr>
          <w:rFonts w:ascii="Times New Roman" w:hAnsi="Times New Roman" w:cs="Times New Roman"/>
          <w:sz w:val="22"/>
          <w:szCs w:val="22"/>
        </w:rPr>
        <w:t>behaviors</w:t>
      </w:r>
      <w:proofErr w:type="spellEnd"/>
      <w:r w:rsidRPr="00ED1409">
        <w:rPr>
          <w:rFonts w:ascii="Times New Roman" w:hAnsi="Times New Roman" w:cs="Times New Roman"/>
          <w:sz w:val="22"/>
          <w:szCs w:val="22"/>
        </w:rPr>
        <w:t xml:space="preserve"> — activity, product count, product mix, tenure — actually drive churn, as opposed to being assumed to matter.</w:t>
      </w:r>
    </w:p>
    <w:p w14:paraId="4DC1E5EC"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Clarity on product depth </w:t>
      </w:r>
      <w:r w:rsidRPr="00ED1409">
        <w:rPr>
          <w:rFonts w:ascii="Times New Roman" w:hAnsi="Times New Roman" w:cs="Times New Roman"/>
          <w:sz w:val="22"/>
          <w:szCs w:val="22"/>
        </w:rPr>
        <w:t>— whether holding more products genuinely deepens loyalty, or whether it can also signal an over-sold, distressed relationship.</w:t>
      </w:r>
    </w:p>
    <w:p w14:paraId="229E67CA"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Evidence on balance and income </w:t>
      </w:r>
      <w:r w:rsidRPr="00ED1409">
        <w:rPr>
          <w:rFonts w:ascii="Times New Roman" w:hAnsi="Times New Roman" w:cs="Times New Roman"/>
          <w:sz w:val="22"/>
          <w:szCs w:val="22"/>
        </w:rPr>
        <w:t>— whether high balances or salaries provide any real insulation against attrition, or whether they mask disengagement ("silent churn").</w:t>
      </w:r>
    </w:p>
    <w:p w14:paraId="32007279"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In the absence of this evidence, retention strategies default to generic, demographic-led programs (e.g., "target high-balance customers") that are frequently misaligned with the </w:t>
      </w:r>
      <w:proofErr w:type="spellStart"/>
      <w:r w:rsidRPr="00ED1409">
        <w:rPr>
          <w:rFonts w:ascii="Times New Roman" w:hAnsi="Times New Roman" w:cs="Times New Roman"/>
          <w:sz w:val="22"/>
          <w:szCs w:val="22"/>
        </w:rPr>
        <w:t>behaviors</w:t>
      </w:r>
      <w:proofErr w:type="spellEnd"/>
      <w:r w:rsidRPr="00ED1409">
        <w:rPr>
          <w:rFonts w:ascii="Times New Roman" w:hAnsi="Times New Roman" w:cs="Times New Roman"/>
          <w:sz w:val="22"/>
          <w:szCs w:val="22"/>
        </w:rPr>
        <w:t xml:space="preserve"> that actually predict churn. This paper closes that gap using a full-portfolio statistical analysis of the Bank's customer base.</w:t>
      </w:r>
    </w:p>
    <w:p w14:paraId="56344760"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4" w:name="_Toc235001480"/>
      <w:r w:rsidRPr="00ED1409">
        <w:rPr>
          <w:rFonts w:ascii="Times New Roman" w:hAnsi="Times New Roman" w:cs="Times New Roman"/>
          <w:b/>
          <w:bCs/>
          <w:color w:val="1B2A4A"/>
        </w:rPr>
        <w:t>3. Project Objectives</w:t>
      </w:r>
      <w:bookmarkEnd w:id="4"/>
    </w:p>
    <w:p w14:paraId="2EA3094A" w14:textId="77777777" w:rsidR="00C83590" w:rsidRPr="00ED1409" w:rsidRDefault="009F5187">
      <w:pPr>
        <w:pStyle w:val="Heading2"/>
        <w:spacing w:before="320" w:after="160"/>
        <w:rPr>
          <w:rFonts w:ascii="Times New Roman" w:hAnsi="Times New Roman" w:cs="Times New Roman"/>
        </w:rPr>
      </w:pPr>
      <w:bookmarkStart w:id="5" w:name="_Toc235001481"/>
      <w:r w:rsidRPr="00ED1409">
        <w:rPr>
          <w:rFonts w:ascii="Times New Roman" w:hAnsi="Times New Roman" w:cs="Times New Roman"/>
          <w:b/>
          <w:bCs/>
          <w:color w:val="1E8A8A"/>
        </w:rPr>
        <w:t>Primary Objectives</w:t>
      </w:r>
      <w:bookmarkEnd w:id="5"/>
    </w:p>
    <w:p w14:paraId="3FA82670"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Evaluate the relationship between customer engagement (activity status) and churn.</w:t>
      </w:r>
    </w:p>
    <w:p w14:paraId="30D76643"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Measure the retention impact of product count and product mix.</w:t>
      </w:r>
    </w:p>
    <w:p w14:paraId="527AEE6F"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Identify disengaged yet high-value (high-balance) customers who represent silent churn risk.</w:t>
      </w:r>
    </w:p>
    <w:p w14:paraId="5119E6D9" w14:textId="77777777" w:rsidR="00C83590" w:rsidRPr="00ED1409" w:rsidRDefault="009F5187">
      <w:pPr>
        <w:pStyle w:val="Heading2"/>
        <w:spacing w:before="320" w:after="160"/>
        <w:rPr>
          <w:rFonts w:ascii="Times New Roman" w:hAnsi="Times New Roman" w:cs="Times New Roman"/>
        </w:rPr>
      </w:pPr>
      <w:bookmarkStart w:id="6" w:name="_Toc235001482"/>
      <w:r w:rsidRPr="00ED1409">
        <w:rPr>
          <w:rFonts w:ascii="Times New Roman" w:hAnsi="Times New Roman" w:cs="Times New Roman"/>
          <w:b/>
          <w:bCs/>
          <w:color w:val="1E8A8A"/>
        </w:rPr>
        <w:lastRenderedPageBreak/>
        <w:t>Secondary Objectives</w:t>
      </w:r>
      <w:bookmarkEnd w:id="6"/>
    </w:p>
    <w:p w14:paraId="69B9FA75"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Support the design of engagement-driven retention strategies.</w:t>
      </w:r>
    </w:p>
    <w:p w14:paraId="1ECA3C5D"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Improve product bundling decisions based on evidence rather than assumption.</w:t>
      </w:r>
    </w:p>
    <w:p w14:paraId="4F7A77CD"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Reduce silent churn among premium (high-balance) customers.</w:t>
      </w:r>
    </w:p>
    <w:p w14:paraId="2852E045" w14:textId="77777777" w:rsidR="00C83590" w:rsidRPr="00ED1409" w:rsidRDefault="009F5187">
      <w:pPr>
        <w:rPr>
          <w:rFonts w:ascii="Times New Roman" w:hAnsi="Times New Roman" w:cs="Times New Roman"/>
          <w:sz w:val="22"/>
          <w:szCs w:val="22"/>
        </w:rPr>
      </w:pPr>
      <w:r w:rsidRPr="00ED1409">
        <w:rPr>
          <w:rFonts w:ascii="Times New Roman" w:hAnsi="Times New Roman" w:cs="Times New Roman"/>
          <w:sz w:val="22"/>
          <w:szCs w:val="22"/>
        </w:rPr>
        <w:br w:type="page"/>
      </w:r>
    </w:p>
    <w:p w14:paraId="0E728705"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7" w:name="_Toc235001483"/>
      <w:r w:rsidRPr="00ED1409">
        <w:rPr>
          <w:rFonts w:ascii="Times New Roman" w:hAnsi="Times New Roman" w:cs="Times New Roman"/>
          <w:b/>
          <w:bCs/>
          <w:color w:val="1B2A4A"/>
        </w:rPr>
        <w:lastRenderedPageBreak/>
        <w:t>4. Data Description &amp; Validation</w:t>
      </w:r>
      <w:bookmarkEnd w:id="7"/>
    </w:p>
    <w:p w14:paraId="5AB27706"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The analysis is based on a full-portfolio extract of 10,000 retail banking customers, provided as European_Bank.csv. Each row represents one customer relationship as of the extract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83590" w:rsidRPr="00ED1409" w14:paraId="6A3AE765" w14:textId="77777777">
        <w:tblPrEx>
          <w:tblCellMar>
            <w:top w:w="0" w:type="dxa"/>
            <w:bottom w:w="0" w:type="dxa"/>
          </w:tblCellMar>
        </w:tblPrEx>
        <w:trPr>
          <w:tblHeader/>
        </w:trPr>
        <w:tc>
          <w:tcPr>
            <w:tcW w:w="2200" w:type="dxa"/>
            <w:shd w:val="clear" w:color="auto" w:fill="1B2A4A"/>
            <w:tcMar>
              <w:top w:w="100" w:type="dxa"/>
              <w:left w:w="120" w:type="dxa"/>
              <w:bottom w:w="100" w:type="dxa"/>
              <w:right w:w="120" w:type="dxa"/>
            </w:tcMar>
            <w:vAlign w:val="center"/>
          </w:tcPr>
          <w:p w14:paraId="0B8D0177"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Column</w:t>
            </w:r>
          </w:p>
        </w:tc>
        <w:tc>
          <w:tcPr>
            <w:tcW w:w="6826" w:type="dxa"/>
            <w:shd w:val="clear" w:color="auto" w:fill="1B2A4A"/>
            <w:tcMar>
              <w:top w:w="100" w:type="dxa"/>
              <w:left w:w="120" w:type="dxa"/>
              <w:bottom w:w="100" w:type="dxa"/>
              <w:right w:w="120" w:type="dxa"/>
            </w:tcMar>
            <w:vAlign w:val="center"/>
          </w:tcPr>
          <w:p w14:paraId="3B7DF55E"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Description</w:t>
            </w:r>
          </w:p>
        </w:tc>
      </w:tr>
      <w:tr w:rsidR="00C83590" w:rsidRPr="00ED1409" w14:paraId="4BF87EA9"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70CBFC22"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CustomerId</w:t>
            </w:r>
            <w:proofErr w:type="spellEnd"/>
          </w:p>
        </w:tc>
        <w:tc>
          <w:tcPr>
            <w:tcW w:w="6826" w:type="dxa"/>
            <w:shd w:val="clear" w:color="auto" w:fill="FFFFFF"/>
            <w:tcMar>
              <w:top w:w="100" w:type="dxa"/>
              <w:left w:w="120" w:type="dxa"/>
              <w:bottom w:w="100" w:type="dxa"/>
              <w:right w:w="120" w:type="dxa"/>
            </w:tcMar>
            <w:vAlign w:val="center"/>
          </w:tcPr>
          <w:p w14:paraId="5C949A8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Unique customer identifier</w:t>
            </w:r>
          </w:p>
        </w:tc>
      </w:tr>
      <w:tr w:rsidR="00C83590" w:rsidRPr="00ED1409" w14:paraId="37BF5D63"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172008E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Surname</w:t>
            </w:r>
          </w:p>
        </w:tc>
        <w:tc>
          <w:tcPr>
            <w:tcW w:w="6826" w:type="dxa"/>
            <w:shd w:val="clear" w:color="auto" w:fill="F2F3F5"/>
            <w:tcMar>
              <w:top w:w="100" w:type="dxa"/>
              <w:left w:w="120" w:type="dxa"/>
              <w:bottom w:w="100" w:type="dxa"/>
              <w:right w:w="120" w:type="dxa"/>
            </w:tcMar>
            <w:vAlign w:val="center"/>
          </w:tcPr>
          <w:p w14:paraId="4301D11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Customer surname</w:t>
            </w:r>
          </w:p>
        </w:tc>
      </w:tr>
      <w:tr w:rsidR="00C83590" w:rsidRPr="00ED1409" w14:paraId="06C9BB84"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36E665F"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CreditScore</w:t>
            </w:r>
            <w:proofErr w:type="spellEnd"/>
          </w:p>
        </w:tc>
        <w:tc>
          <w:tcPr>
            <w:tcW w:w="6826" w:type="dxa"/>
            <w:shd w:val="clear" w:color="auto" w:fill="FFFFFF"/>
            <w:tcMar>
              <w:top w:w="100" w:type="dxa"/>
              <w:left w:w="120" w:type="dxa"/>
              <w:bottom w:w="100" w:type="dxa"/>
              <w:right w:w="120" w:type="dxa"/>
            </w:tcMar>
            <w:vAlign w:val="center"/>
          </w:tcPr>
          <w:p w14:paraId="7D5A285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Customer creditworthiness (350–850)</w:t>
            </w:r>
          </w:p>
        </w:tc>
      </w:tr>
      <w:tr w:rsidR="00C83590" w:rsidRPr="00ED1409" w14:paraId="315F329F"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042B75D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Geography</w:t>
            </w:r>
          </w:p>
        </w:tc>
        <w:tc>
          <w:tcPr>
            <w:tcW w:w="6826" w:type="dxa"/>
            <w:shd w:val="clear" w:color="auto" w:fill="F2F3F5"/>
            <w:tcMar>
              <w:top w:w="100" w:type="dxa"/>
              <w:left w:w="120" w:type="dxa"/>
              <w:bottom w:w="100" w:type="dxa"/>
              <w:right w:w="120" w:type="dxa"/>
            </w:tcMar>
            <w:vAlign w:val="center"/>
          </w:tcPr>
          <w:p w14:paraId="1253BBF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Country of residence: France, Spain, or Germany</w:t>
            </w:r>
          </w:p>
        </w:tc>
      </w:tr>
      <w:tr w:rsidR="00C83590" w:rsidRPr="00ED1409" w14:paraId="5D31FE9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C25DE9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Gender</w:t>
            </w:r>
          </w:p>
        </w:tc>
        <w:tc>
          <w:tcPr>
            <w:tcW w:w="6826" w:type="dxa"/>
            <w:shd w:val="clear" w:color="auto" w:fill="FFFFFF"/>
            <w:tcMar>
              <w:top w:w="100" w:type="dxa"/>
              <w:left w:w="120" w:type="dxa"/>
              <w:bottom w:w="100" w:type="dxa"/>
              <w:right w:w="120" w:type="dxa"/>
            </w:tcMar>
            <w:vAlign w:val="center"/>
          </w:tcPr>
          <w:p w14:paraId="43D8549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Male / Female</w:t>
            </w:r>
          </w:p>
        </w:tc>
      </w:tr>
      <w:tr w:rsidR="00C83590" w:rsidRPr="00ED1409" w14:paraId="788BF4DF"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6201E47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Age</w:t>
            </w:r>
          </w:p>
        </w:tc>
        <w:tc>
          <w:tcPr>
            <w:tcW w:w="6826" w:type="dxa"/>
            <w:shd w:val="clear" w:color="auto" w:fill="F2F3F5"/>
            <w:tcMar>
              <w:top w:w="100" w:type="dxa"/>
              <w:left w:w="120" w:type="dxa"/>
              <w:bottom w:w="100" w:type="dxa"/>
              <w:right w:w="120" w:type="dxa"/>
            </w:tcMar>
            <w:vAlign w:val="center"/>
          </w:tcPr>
          <w:p w14:paraId="7DA686BD"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Customer age in years (18–92)</w:t>
            </w:r>
          </w:p>
        </w:tc>
      </w:tr>
      <w:tr w:rsidR="00C83590" w:rsidRPr="00ED1409" w14:paraId="0254113D"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C3E04B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Tenure</w:t>
            </w:r>
          </w:p>
        </w:tc>
        <w:tc>
          <w:tcPr>
            <w:tcW w:w="6826" w:type="dxa"/>
            <w:shd w:val="clear" w:color="auto" w:fill="FFFFFF"/>
            <w:tcMar>
              <w:top w:w="100" w:type="dxa"/>
              <w:left w:w="120" w:type="dxa"/>
              <w:bottom w:w="100" w:type="dxa"/>
              <w:right w:w="120" w:type="dxa"/>
            </w:tcMar>
            <w:vAlign w:val="center"/>
          </w:tcPr>
          <w:p w14:paraId="624814D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Years as a customer of the Bank (0–10)</w:t>
            </w:r>
          </w:p>
        </w:tc>
      </w:tr>
      <w:tr w:rsidR="00C83590" w:rsidRPr="00ED1409" w14:paraId="2312C678"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6E260D2D"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Balance</w:t>
            </w:r>
          </w:p>
        </w:tc>
        <w:tc>
          <w:tcPr>
            <w:tcW w:w="6826" w:type="dxa"/>
            <w:shd w:val="clear" w:color="auto" w:fill="F2F3F5"/>
            <w:tcMar>
              <w:top w:w="100" w:type="dxa"/>
              <w:left w:w="120" w:type="dxa"/>
              <w:bottom w:w="100" w:type="dxa"/>
              <w:right w:w="120" w:type="dxa"/>
            </w:tcMar>
            <w:vAlign w:val="center"/>
          </w:tcPr>
          <w:p w14:paraId="44D4642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Current account balance (EUR)</w:t>
            </w:r>
          </w:p>
        </w:tc>
      </w:tr>
      <w:tr w:rsidR="00C83590" w:rsidRPr="00ED1409" w14:paraId="011A3DB3"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2254BA12"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NumOfProducts</w:t>
            </w:r>
            <w:proofErr w:type="spellEnd"/>
          </w:p>
        </w:tc>
        <w:tc>
          <w:tcPr>
            <w:tcW w:w="6826" w:type="dxa"/>
            <w:shd w:val="clear" w:color="auto" w:fill="FFFFFF"/>
            <w:tcMar>
              <w:top w:w="100" w:type="dxa"/>
              <w:left w:w="120" w:type="dxa"/>
              <w:bottom w:w="100" w:type="dxa"/>
              <w:right w:w="120" w:type="dxa"/>
            </w:tcMar>
            <w:vAlign w:val="center"/>
          </w:tcPr>
          <w:p w14:paraId="2772FB2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Number of Bank products held (1–4)</w:t>
            </w:r>
          </w:p>
        </w:tc>
      </w:tr>
      <w:tr w:rsidR="00C83590" w:rsidRPr="00ED1409" w14:paraId="0FDDC6EE"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66BD9B6C"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HasCrCard</w:t>
            </w:r>
            <w:proofErr w:type="spellEnd"/>
          </w:p>
        </w:tc>
        <w:tc>
          <w:tcPr>
            <w:tcW w:w="6826" w:type="dxa"/>
            <w:shd w:val="clear" w:color="auto" w:fill="F2F3F5"/>
            <w:tcMar>
              <w:top w:w="100" w:type="dxa"/>
              <w:left w:w="120" w:type="dxa"/>
              <w:bottom w:w="100" w:type="dxa"/>
              <w:right w:w="120" w:type="dxa"/>
            </w:tcMar>
            <w:vAlign w:val="center"/>
          </w:tcPr>
          <w:p w14:paraId="13005C3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Credit card ownership (binary)</w:t>
            </w:r>
          </w:p>
        </w:tc>
      </w:tr>
      <w:tr w:rsidR="00C83590" w:rsidRPr="00ED1409" w14:paraId="00160F88"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A2546FE"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IsActiveMember</w:t>
            </w:r>
            <w:proofErr w:type="spellEnd"/>
          </w:p>
        </w:tc>
        <w:tc>
          <w:tcPr>
            <w:tcW w:w="6826" w:type="dxa"/>
            <w:shd w:val="clear" w:color="auto" w:fill="FFFFFF"/>
            <w:tcMar>
              <w:top w:w="100" w:type="dxa"/>
              <w:left w:w="120" w:type="dxa"/>
              <w:bottom w:w="100" w:type="dxa"/>
              <w:right w:w="120" w:type="dxa"/>
            </w:tcMar>
            <w:vAlign w:val="center"/>
          </w:tcPr>
          <w:p w14:paraId="13215066"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Activity indicator (binary)</w:t>
            </w:r>
          </w:p>
        </w:tc>
      </w:tr>
      <w:tr w:rsidR="00C83590" w:rsidRPr="00ED1409" w14:paraId="486A5001" w14:textId="77777777">
        <w:tblPrEx>
          <w:tblCellMar>
            <w:top w:w="0" w:type="dxa"/>
            <w:bottom w:w="0" w:type="dxa"/>
          </w:tblCellMar>
        </w:tblPrEx>
        <w:tc>
          <w:tcPr>
            <w:tcW w:w="2200" w:type="dxa"/>
            <w:shd w:val="clear" w:color="auto" w:fill="F2F3F5"/>
            <w:tcMar>
              <w:top w:w="100" w:type="dxa"/>
              <w:left w:w="120" w:type="dxa"/>
              <w:bottom w:w="100" w:type="dxa"/>
              <w:right w:w="120" w:type="dxa"/>
            </w:tcMar>
            <w:vAlign w:val="center"/>
          </w:tcPr>
          <w:p w14:paraId="695E89E7" w14:textId="77777777" w:rsidR="00C83590" w:rsidRPr="00ED1409" w:rsidRDefault="009F5187">
            <w:pPr>
              <w:rPr>
                <w:rFonts w:ascii="Times New Roman" w:hAnsi="Times New Roman" w:cs="Times New Roman"/>
              </w:rPr>
            </w:pPr>
            <w:proofErr w:type="spellStart"/>
            <w:r w:rsidRPr="00ED1409">
              <w:rPr>
                <w:rFonts w:ascii="Times New Roman" w:hAnsi="Times New Roman" w:cs="Times New Roman"/>
                <w:color w:val="222222"/>
                <w:sz w:val="19"/>
                <w:szCs w:val="19"/>
              </w:rPr>
              <w:t>EstimatedSalary</w:t>
            </w:r>
            <w:proofErr w:type="spellEnd"/>
          </w:p>
        </w:tc>
        <w:tc>
          <w:tcPr>
            <w:tcW w:w="6826" w:type="dxa"/>
            <w:shd w:val="clear" w:color="auto" w:fill="F2F3F5"/>
            <w:tcMar>
              <w:top w:w="100" w:type="dxa"/>
              <w:left w:w="120" w:type="dxa"/>
              <w:bottom w:w="100" w:type="dxa"/>
              <w:right w:w="120" w:type="dxa"/>
            </w:tcMar>
            <w:vAlign w:val="center"/>
          </w:tcPr>
          <w:p w14:paraId="6ADD574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Estimated annual salary (EUR)</w:t>
            </w:r>
          </w:p>
        </w:tc>
      </w:tr>
      <w:tr w:rsidR="00C83590" w:rsidRPr="00ED1409" w14:paraId="6ADCA063"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318C111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Exited</w:t>
            </w:r>
          </w:p>
        </w:tc>
        <w:tc>
          <w:tcPr>
            <w:tcW w:w="6826" w:type="dxa"/>
            <w:shd w:val="clear" w:color="auto" w:fill="FFFFFF"/>
            <w:tcMar>
              <w:top w:w="100" w:type="dxa"/>
              <w:left w:w="120" w:type="dxa"/>
              <w:bottom w:w="100" w:type="dxa"/>
              <w:right w:w="120" w:type="dxa"/>
            </w:tcMar>
            <w:vAlign w:val="center"/>
          </w:tcPr>
          <w:p w14:paraId="6578EB0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Churn indicator — target variable (binary)</w:t>
            </w:r>
          </w:p>
        </w:tc>
      </w:tr>
    </w:tbl>
    <w:p w14:paraId="2D01EF0D" w14:textId="77777777" w:rsidR="00C83590" w:rsidRPr="00ED1409" w:rsidRDefault="00C83590">
      <w:pPr>
        <w:spacing w:after="240"/>
        <w:rPr>
          <w:rFonts w:ascii="Times New Roman" w:hAnsi="Times New Roman" w:cs="Times New Roman"/>
        </w:rPr>
      </w:pPr>
    </w:p>
    <w:p w14:paraId="3E3C8D94" w14:textId="77777777" w:rsidR="00C83590" w:rsidRPr="00ED1409" w:rsidRDefault="009F5187">
      <w:pPr>
        <w:pStyle w:val="Heading2"/>
        <w:spacing w:before="320" w:after="160"/>
        <w:rPr>
          <w:rFonts w:ascii="Times New Roman" w:hAnsi="Times New Roman" w:cs="Times New Roman"/>
        </w:rPr>
      </w:pPr>
      <w:bookmarkStart w:id="8" w:name="_Toc235001484"/>
      <w:r w:rsidRPr="00ED1409">
        <w:rPr>
          <w:rFonts w:ascii="Times New Roman" w:hAnsi="Times New Roman" w:cs="Times New Roman"/>
          <w:b/>
          <w:bCs/>
          <w:color w:val="1E8A8A"/>
        </w:rPr>
        <w:t>Validation Results</w:t>
      </w:r>
      <w:bookmarkEnd w:id="8"/>
    </w:p>
    <w:p w14:paraId="34104806"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Completeness: </w:t>
      </w:r>
      <w:r w:rsidRPr="00ED1409">
        <w:rPr>
          <w:rFonts w:ascii="Times New Roman" w:hAnsi="Times New Roman" w:cs="Times New Roman"/>
          <w:sz w:val="22"/>
          <w:szCs w:val="22"/>
        </w:rPr>
        <w:t>Zero missing values across all 14 fields and 10,000 records.</w:t>
      </w:r>
    </w:p>
    <w:p w14:paraId="6FA7DF2D"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Uniqueness: </w:t>
      </w:r>
      <w:r w:rsidRPr="00ED1409">
        <w:rPr>
          <w:rFonts w:ascii="Times New Roman" w:hAnsi="Times New Roman" w:cs="Times New Roman"/>
          <w:sz w:val="22"/>
          <w:szCs w:val="22"/>
        </w:rPr>
        <w:t xml:space="preserve">All 10,000 </w:t>
      </w:r>
      <w:proofErr w:type="spellStart"/>
      <w:r w:rsidRPr="00ED1409">
        <w:rPr>
          <w:rFonts w:ascii="Times New Roman" w:hAnsi="Times New Roman" w:cs="Times New Roman"/>
          <w:sz w:val="22"/>
          <w:szCs w:val="22"/>
        </w:rPr>
        <w:t>CustomerId</w:t>
      </w:r>
      <w:proofErr w:type="spellEnd"/>
      <w:r w:rsidRPr="00ED1409">
        <w:rPr>
          <w:rFonts w:ascii="Times New Roman" w:hAnsi="Times New Roman" w:cs="Times New Roman"/>
          <w:sz w:val="22"/>
          <w:szCs w:val="22"/>
        </w:rPr>
        <w:t xml:space="preserve"> values are unique — no duplicate customer records.</w:t>
      </w:r>
    </w:p>
    <w:p w14:paraId="1629A8C0"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Binary field consistency: </w:t>
      </w:r>
      <w:proofErr w:type="spellStart"/>
      <w:r w:rsidRPr="00ED1409">
        <w:rPr>
          <w:rFonts w:ascii="Times New Roman" w:hAnsi="Times New Roman" w:cs="Times New Roman"/>
          <w:sz w:val="22"/>
          <w:szCs w:val="22"/>
        </w:rPr>
        <w:t>HasCrCard</w:t>
      </w:r>
      <w:proofErr w:type="spellEnd"/>
      <w:r w:rsidRPr="00ED1409">
        <w:rPr>
          <w:rFonts w:ascii="Times New Roman" w:hAnsi="Times New Roman" w:cs="Times New Roman"/>
          <w:sz w:val="22"/>
          <w:szCs w:val="22"/>
        </w:rPr>
        <w:t xml:space="preserve">, </w:t>
      </w:r>
      <w:proofErr w:type="spellStart"/>
      <w:r w:rsidRPr="00ED1409">
        <w:rPr>
          <w:rFonts w:ascii="Times New Roman" w:hAnsi="Times New Roman" w:cs="Times New Roman"/>
          <w:sz w:val="22"/>
          <w:szCs w:val="22"/>
        </w:rPr>
        <w:t>IsActiveMember</w:t>
      </w:r>
      <w:proofErr w:type="spellEnd"/>
      <w:r w:rsidRPr="00ED1409">
        <w:rPr>
          <w:rFonts w:ascii="Times New Roman" w:hAnsi="Times New Roman" w:cs="Times New Roman"/>
          <w:sz w:val="22"/>
          <w:szCs w:val="22"/>
        </w:rPr>
        <w:t>, and Exited each contain only the values {0, 1}, confirmed across the full dataset.</w:t>
      </w:r>
    </w:p>
    <w:p w14:paraId="573B9AB3"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Categorical integrity: </w:t>
      </w:r>
      <w:r w:rsidRPr="00ED1409">
        <w:rPr>
          <w:rFonts w:ascii="Times New Roman" w:hAnsi="Times New Roman" w:cs="Times New Roman"/>
          <w:sz w:val="22"/>
          <w:szCs w:val="22"/>
        </w:rPr>
        <w:t>Geography is restricted to exactly three expected values (France, Germany, Spain); Gender to exactly two (Male, Female).</w:t>
      </w:r>
    </w:p>
    <w:p w14:paraId="24AAB3C6"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Range checks: </w:t>
      </w:r>
      <w:proofErr w:type="spellStart"/>
      <w:r w:rsidRPr="00ED1409">
        <w:rPr>
          <w:rFonts w:ascii="Times New Roman" w:hAnsi="Times New Roman" w:cs="Times New Roman"/>
          <w:sz w:val="22"/>
          <w:szCs w:val="22"/>
        </w:rPr>
        <w:t>CreditScore</w:t>
      </w:r>
      <w:proofErr w:type="spellEnd"/>
      <w:r w:rsidRPr="00ED1409">
        <w:rPr>
          <w:rFonts w:ascii="Times New Roman" w:hAnsi="Times New Roman" w:cs="Times New Roman"/>
          <w:sz w:val="22"/>
          <w:szCs w:val="22"/>
        </w:rPr>
        <w:t xml:space="preserve"> (350–850), Age (18–92), Tenure (0–10 years), and </w:t>
      </w:r>
      <w:proofErr w:type="spellStart"/>
      <w:r w:rsidRPr="00ED1409">
        <w:rPr>
          <w:rFonts w:ascii="Times New Roman" w:hAnsi="Times New Roman" w:cs="Times New Roman"/>
          <w:sz w:val="22"/>
          <w:szCs w:val="22"/>
        </w:rPr>
        <w:t>NumOfProducts</w:t>
      </w:r>
      <w:proofErr w:type="spellEnd"/>
      <w:r w:rsidRPr="00ED1409">
        <w:rPr>
          <w:rFonts w:ascii="Times New Roman" w:hAnsi="Times New Roman" w:cs="Times New Roman"/>
          <w:sz w:val="22"/>
          <w:szCs w:val="22"/>
        </w:rPr>
        <w:t xml:space="preserve"> (1–4) all fall within plausible banking ranges with no negative values or impossible outliers.</w:t>
      </w:r>
    </w:p>
    <w:p w14:paraId="43BF783D"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Churn </w:t>
      </w:r>
      <w:proofErr w:type="spellStart"/>
      <w:r w:rsidRPr="00ED1409">
        <w:rPr>
          <w:rFonts w:ascii="Times New Roman" w:hAnsi="Times New Roman" w:cs="Times New Roman"/>
          <w:b/>
          <w:bCs/>
          <w:sz w:val="22"/>
          <w:szCs w:val="22"/>
        </w:rPr>
        <w:t>labeling</w:t>
      </w:r>
      <w:proofErr w:type="spellEnd"/>
      <w:r w:rsidRPr="00ED1409">
        <w:rPr>
          <w:rFonts w:ascii="Times New Roman" w:hAnsi="Times New Roman" w:cs="Times New Roman"/>
          <w:b/>
          <w:bCs/>
          <w:sz w:val="22"/>
          <w:szCs w:val="22"/>
        </w:rPr>
        <w:t xml:space="preserve">: </w:t>
      </w:r>
      <w:r w:rsidRPr="00ED1409">
        <w:rPr>
          <w:rFonts w:ascii="Times New Roman" w:hAnsi="Times New Roman" w:cs="Times New Roman"/>
          <w:sz w:val="22"/>
          <w:szCs w:val="22"/>
        </w:rPr>
        <w:t>Exited is well-balanced enough for reliable subgroup analysis — 20.37% positive class (2,037 churned customers) versus 79.63% retained (7,963 customers).</w:t>
      </w:r>
    </w:p>
    <w:p w14:paraId="237496AD"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The dataset required no imputation, deduplication, or corrective transformation prior to analysis. Two derived fields were engineered to support the engagement-focused methodology: a High-Balance flag (customers in the top quartile of account balance, ≥ €127,644) and a Relationship Strength Index (described in Section 6.5).</w:t>
      </w:r>
    </w:p>
    <w:p w14:paraId="09960BE5" w14:textId="67E58B6B" w:rsidR="00C83590" w:rsidRPr="00ED1409" w:rsidRDefault="009F5187" w:rsidP="008F547A">
      <w:pPr>
        <w:rPr>
          <w:rFonts w:ascii="Times New Roman" w:hAnsi="Times New Roman" w:cs="Times New Roman"/>
        </w:rPr>
      </w:pPr>
      <w:r w:rsidRPr="00ED1409">
        <w:rPr>
          <w:rFonts w:ascii="Times New Roman" w:hAnsi="Times New Roman" w:cs="Times New Roman"/>
        </w:rPr>
        <w:br w:type="page"/>
      </w:r>
      <w:bookmarkStart w:id="9" w:name="_Toc235001485"/>
      <w:r w:rsidRPr="00ED1409">
        <w:rPr>
          <w:rFonts w:ascii="Times New Roman" w:hAnsi="Times New Roman" w:cs="Times New Roman"/>
          <w:b/>
          <w:bCs/>
          <w:color w:val="1B2A4A"/>
          <w:sz w:val="32"/>
          <w:szCs w:val="32"/>
        </w:rPr>
        <w:lastRenderedPageBreak/>
        <w:t>5. Analytical Methodology</w:t>
      </w:r>
      <w:bookmarkEnd w:id="9"/>
    </w:p>
    <w:p w14:paraId="5C52FB6C"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The analysis follows a five-stage methodology moving from data integrity through to a composite retention-strength score:</w:t>
      </w:r>
    </w:p>
    <w:p w14:paraId="76845704" w14:textId="77777777" w:rsidR="00C83590" w:rsidRPr="00ED1409" w:rsidRDefault="009F5187">
      <w:pPr>
        <w:pStyle w:val="Heading2"/>
        <w:spacing w:before="320" w:after="160"/>
        <w:rPr>
          <w:rFonts w:ascii="Times New Roman" w:hAnsi="Times New Roman" w:cs="Times New Roman"/>
        </w:rPr>
      </w:pPr>
      <w:bookmarkStart w:id="10" w:name="_Toc235001486"/>
      <w:r w:rsidRPr="00ED1409">
        <w:rPr>
          <w:rFonts w:ascii="Times New Roman" w:hAnsi="Times New Roman" w:cs="Times New Roman"/>
          <w:b/>
          <w:bCs/>
          <w:color w:val="1E8A8A"/>
        </w:rPr>
        <w:t>Stage 1 — Data Ingestion &amp; Validation</w:t>
      </w:r>
      <w:bookmarkEnd w:id="10"/>
    </w:p>
    <w:p w14:paraId="4E0B2D29"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Loading and validating the dataset, confirming binary-field consistency, categorical integrity, and churn-label accuracy (detailed in Section 4).</w:t>
      </w:r>
    </w:p>
    <w:p w14:paraId="1DD06FB7" w14:textId="77777777" w:rsidR="00C83590" w:rsidRPr="00ED1409" w:rsidRDefault="009F5187">
      <w:pPr>
        <w:pStyle w:val="Heading2"/>
        <w:spacing w:before="320" w:after="160"/>
        <w:rPr>
          <w:rFonts w:ascii="Times New Roman" w:hAnsi="Times New Roman" w:cs="Times New Roman"/>
        </w:rPr>
      </w:pPr>
      <w:bookmarkStart w:id="11" w:name="_Toc235001487"/>
      <w:r w:rsidRPr="00ED1409">
        <w:rPr>
          <w:rFonts w:ascii="Times New Roman" w:hAnsi="Times New Roman" w:cs="Times New Roman"/>
          <w:b/>
          <w:bCs/>
          <w:color w:val="1E8A8A"/>
        </w:rPr>
        <w:t>Stage 2 — Engagement Classification</w:t>
      </w:r>
      <w:bookmarkEnd w:id="11"/>
    </w:p>
    <w:p w14:paraId="605A6F95"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Customers are grouped into four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profiles based on activity status and product/balance context: Active Engaged (multi-product), Active but Low-Product, Inactive High-Balance, and Inactive Disengaged. This reframes the portfolio away from a single active/inactive split toward profiles that combine engagement with financial context.</w:t>
      </w:r>
    </w:p>
    <w:p w14:paraId="08779880" w14:textId="77777777" w:rsidR="00C83590" w:rsidRPr="00ED1409" w:rsidRDefault="009F5187">
      <w:pPr>
        <w:pStyle w:val="Heading2"/>
        <w:spacing w:before="320" w:after="160"/>
        <w:rPr>
          <w:rFonts w:ascii="Times New Roman" w:hAnsi="Times New Roman" w:cs="Times New Roman"/>
        </w:rPr>
      </w:pPr>
      <w:bookmarkStart w:id="12" w:name="_Toc235001488"/>
      <w:r w:rsidRPr="00ED1409">
        <w:rPr>
          <w:rFonts w:ascii="Times New Roman" w:hAnsi="Times New Roman" w:cs="Times New Roman"/>
          <w:b/>
          <w:bCs/>
          <w:color w:val="1E8A8A"/>
        </w:rPr>
        <w:t>Stage 3 — Product Utilization Analysis</w:t>
      </w:r>
      <w:bookmarkEnd w:id="12"/>
    </w:p>
    <w:p w14:paraId="6F221328"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Churn rate is measured at each product-count tier (1 through 4) and rolled up into single-product versus multi-product cohorts, to test whether product depth uniformly improves retention or whether the relationship is non-linear.</w:t>
      </w:r>
    </w:p>
    <w:p w14:paraId="0945C944" w14:textId="77777777" w:rsidR="00C83590" w:rsidRPr="00ED1409" w:rsidRDefault="009F5187">
      <w:pPr>
        <w:pStyle w:val="Heading2"/>
        <w:spacing w:before="320" w:after="160"/>
        <w:rPr>
          <w:rFonts w:ascii="Times New Roman" w:hAnsi="Times New Roman" w:cs="Times New Roman"/>
        </w:rPr>
      </w:pPr>
      <w:bookmarkStart w:id="13" w:name="_Toc235001489"/>
      <w:r w:rsidRPr="00ED1409">
        <w:rPr>
          <w:rFonts w:ascii="Times New Roman" w:hAnsi="Times New Roman" w:cs="Times New Roman"/>
          <w:b/>
          <w:bCs/>
          <w:color w:val="1E8A8A"/>
        </w:rPr>
        <w:t>Stage 4 — Financial Commitment vs. Engagement Analysis</w:t>
      </w:r>
      <w:bookmarkEnd w:id="13"/>
    </w:p>
    <w:p w14:paraId="5546E030"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Account balance is cross-tabulated against activity status to isolate an "at-risk premium" segment — high-balance customers who are not actively engaged — and to test for salary–balance mismatches that might signal an under-utilized relationship.</w:t>
      </w:r>
    </w:p>
    <w:p w14:paraId="1B136AE8" w14:textId="77777777" w:rsidR="00C83590" w:rsidRPr="00ED1409" w:rsidRDefault="009F5187">
      <w:pPr>
        <w:pStyle w:val="Heading2"/>
        <w:spacing w:before="320" w:after="160"/>
        <w:rPr>
          <w:rFonts w:ascii="Times New Roman" w:hAnsi="Times New Roman" w:cs="Times New Roman"/>
        </w:rPr>
      </w:pPr>
      <w:bookmarkStart w:id="14" w:name="_Toc235001490"/>
      <w:r w:rsidRPr="00ED1409">
        <w:rPr>
          <w:rFonts w:ascii="Times New Roman" w:hAnsi="Times New Roman" w:cs="Times New Roman"/>
          <w:b/>
          <w:bCs/>
          <w:color w:val="1E8A8A"/>
        </w:rPr>
        <w:t>Stage 5 — Retention Strength Assessment</w:t>
      </w:r>
      <w:bookmarkEnd w:id="14"/>
    </w:p>
    <w:p w14:paraId="52F8F51C"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A composite Relationship Strength Index (RSI) combines activity, product tier, card ownership, and tenure into a single 0–6 score, which is then tested against churn to confirm whether relationship depth — rather than any single factor — is the more reliable predictor of retention.</w:t>
      </w:r>
    </w:p>
    <w:p w14:paraId="33E0212B"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All churn rates reported below are simple conditional means (observed churn rate = count of Exited=1 ÷ count of records) within each named subgroup, computed directly from the full 10,000-record dataset — no sampling or </w:t>
      </w:r>
      <w:proofErr w:type="spellStart"/>
      <w:r w:rsidRPr="00ED1409">
        <w:rPr>
          <w:rFonts w:ascii="Times New Roman" w:hAnsi="Times New Roman" w:cs="Times New Roman"/>
          <w:sz w:val="22"/>
          <w:szCs w:val="22"/>
        </w:rPr>
        <w:t>modeling</w:t>
      </w:r>
      <w:proofErr w:type="spellEnd"/>
      <w:r w:rsidRPr="00ED1409">
        <w:rPr>
          <w:rFonts w:ascii="Times New Roman" w:hAnsi="Times New Roman" w:cs="Times New Roman"/>
          <w:sz w:val="22"/>
          <w:szCs w:val="22"/>
        </w:rPr>
        <w:t xml:space="preserve"> assumptions were applied at this stage.</w:t>
      </w:r>
    </w:p>
    <w:p w14:paraId="38653AF9" w14:textId="77777777" w:rsidR="00C83590" w:rsidRPr="00ED1409" w:rsidRDefault="009F5187">
      <w:pPr>
        <w:rPr>
          <w:rFonts w:ascii="Times New Roman" w:hAnsi="Times New Roman" w:cs="Times New Roman"/>
          <w:sz w:val="22"/>
          <w:szCs w:val="22"/>
        </w:rPr>
      </w:pPr>
      <w:r w:rsidRPr="00ED1409">
        <w:rPr>
          <w:rFonts w:ascii="Times New Roman" w:hAnsi="Times New Roman" w:cs="Times New Roman"/>
          <w:sz w:val="22"/>
          <w:szCs w:val="22"/>
        </w:rPr>
        <w:br w:type="page"/>
      </w:r>
    </w:p>
    <w:p w14:paraId="1E943FD2"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15" w:name="_Toc235001491"/>
      <w:r w:rsidRPr="00ED1409">
        <w:rPr>
          <w:rFonts w:ascii="Times New Roman" w:hAnsi="Times New Roman" w:cs="Times New Roman"/>
          <w:b/>
          <w:bCs/>
          <w:color w:val="1B2A4A"/>
        </w:rPr>
        <w:lastRenderedPageBreak/>
        <w:t>6. Findings</w:t>
      </w:r>
      <w:bookmarkEnd w:id="15"/>
    </w:p>
    <w:p w14:paraId="38611B34"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This section presents results in the order defined by the methodology: overall churn context, engagement classification, product utilization, financial commitment versus engagement, retention strength, and finally supporting demographic patterns.</w:t>
      </w:r>
    </w:p>
    <w:p w14:paraId="005D7169" w14:textId="77777777" w:rsidR="00C83590" w:rsidRPr="00ED1409" w:rsidRDefault="009F5187">
      <w:pPr>
        <w:pStyle w:val="Heading2"/>
        <w:spacing w:before="320" w:after="160"/>
        <w:rPr>
          <w:rFonts w:ascii="Times New Roman" w:hAnsi="Times New Roman" w:cs="Times New Roman"/>
        </w:rPr>
      </w:pPr>
      <w:bookmarkStart w:id="16" w:name="_Toc235001492"/>
      <w:proofErr w:type="gramStart"/>
      <w:r w:rsidRPr="00ED1409">
        <w:rPr>
          <w:rFonts w:ascii="Times New Roman" w:hAnsi="Times New Roman" w:cs="Times New Roman"/>
          <w:b/>
          <w:bCs/>
          <w:color w:val="1E8A8A"/>
        </w:rPr>
        <w:t>6.1  Overall</w:t>
      </w:r>
      <w:proofErr w:type="gramEnd"/>
      <w:r w:rsidRPr="00ED1409">
        <w:rPr>
          <w:rFonts w:ascii="Times New Roman" w:hAnsi="Times New Roman" w:cs="Times New Roman"/>
          <w:b/>
          <w:bCs/>
          <w:color w:val="1E8A8A"/>
        </w:rPr>
        <w:t xml:space="preserve"> Churn Landscape</w:t>
      </w:r>
      <w:bookmarkEnd w:id="16"/>
    </w:p>
    <w:p w14:paraId="1BD4829E"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Of the 10,000 customers in the portfolio, </w:t>
      </w:r>
      <w:r w:rsidRPr="00ED1409">
        <w:rPr>
          <w:rFonts w:ascii="Times New Roman" w:hAnsi="Times New Roman" w:cs="Times New Roman"/>
          <w:b/>
          <w:bCs/>
          <w:sz w:val="22"/>
          <w:szCs w:val="22"/>
        </w:rPr>
        <w:t>2,037 (20.4%) churned</w:t>
      </w:r>
      <w:r w:rsidRPr="00ED1409">
        <w:rPr>
          <w:rFonts w:ascii="Times New Roman" w:hAnsi="Times New Roman" w:cs="Times New Roman"/>
          <w:sz w:val="22"/>
          <w:szCs w:val="22"/>
        </w:rPr>
        <w:t xml:space="preserve"> during the observation period, against a retained base of 7,963 (79.6%). This baseline rate is the reference point against which every subgroup finding below should be read — a subgroup materially above 20.4% represents elevated risk, while one materially below it represents a protective factor.</w:t>
      </w:r>
    </w:p>
    <w:p w14:paraId="42A3A717"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1CD8B61A" wp14:editId="40CEBA38">
            <wp:extent cx="3048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48000"/>
                    </a:xfrm>
                    <a:prstGeom prst="rect">
                      <a:avLst/>
                    </a:prstGeom>
                  </pic:spPr>
                </pic:pic>
              </a:graphicData>
            </a:graphic>
          </wp:inline>
        </w:drawing>
      </w:r>
    </w:p>
    <w:p w14:paraId="1B4DEE5B"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1. Overall customer churn distribution (n = 10,000).</w:t>
      </w:r>
    </w:p>
    <w:p w14:paraId="17BDDA19"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6964BE08" w14:textId="77777777" w:rsidR="00C83590" w:rsidRPr="00ED1409" w:rsidRDefault="009F5187">
      <w:pPr>
        <w:pStyle w:val="Heading2"/>
        <w:spacing w:before="320" w:after="160"/>
        <w:rPr>
          <w:rFonts w:ascii="Times New Roman" w:hAnsi="Times New Roman" w:cs="Times New Roman"/>
        </w:rPr>
      </w:pPr>
      <w:bookmarkStart w:id="17" w:name="_Toc235001493"/>
      <w:proofErr w:type="gramStart"/>
      <w:r w:rsidRPr="00ED1409">
        <w:rPr>
          <w:rFonts w:ascii="Times New Roman" w:hAnsi="Times New Roman" w:cs="Times New Roman"/>
          <w:b/>
          <w:bCs/>
          <w:color w:val="1E8A8A"/>
        </w:rPr>
        <w:lastRenderedPageBreak/>
        <w:t>6.2  Engagement</w:t>
      </w:r>
      <w:proofErr w:type="gramEnd"/>
      <w:r w:rsidRPr="00ED1409">
        <w:rPr>
          <w:rFonts w:ascii="Times New Roman" w:hAnsi="Times New Roman" w:cs="Times New Roman"/>
          <w:b/>
          <w:bCs/>
          <w:color w:val="1E8A8A"/>
        </w:rPr>
        <w:t xml:space="preserve"> Classification</w:t>
      </w:r>
      <w:bookmarkEnd w:id="17"/>
    </w:p>
    <w:p w14:paraId="58DB27A6"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Customers were grouped into four profiles combining activity status with product depth and balance context (see Appendix A for exact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13"/>
        <w:gridCol w:w="2413"/>
      </w:tblGrid>
      <w:tr w:rsidR="00C83590" w:rsidRPr="00ED1409" w14:paraId="28642D95" w14:textId="77777777">
        <w:tblPrEx>
          <w:tblCellMar>
            <w:top w:w="0" w:type="dxa"/>
            <w:bottom w:w="0" w:type="dxa"/>
          </w:tblCellMar>
        </w:tblPrEx>
        <w:trPr>
          <w:tblHeader/>
        </w:trPr>
        <w:tc>
          <w:tcPr>
            <w:tcW w:w="4200" w:type="dxa"/>
            <w:shd w:val="clear" w:color="auto" w:fill="1B2A4A"/>
            <w:tcMar>
              <w:top w:w="100" w:type="dxa"/>
              <w:left w:w="120" w:type="dxa"/>
              <w:bottom w:w="100" w:type="dxa"/>
              <w:right w:w="120" w:type="dxa"/>
            </w:tcMar>
            <w:vAlign w:val="center"/>
          </w:tcPr>
          <w:p w14:paraId="6A8CF6F9"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Engagement Profile</w:t>
            </w:r>
          </w:p>
        </w:tc>
        <w:tc>
          <w:tcPr>
            <w:tcW w:w="2413" w:type="dxa"/>
            <w:shd w:val="clear" w:color="auto" w:fill="1B2A4A"/>
            <w:tcMar>
              <w:top w:w="100" w:type="dxa"/>
              <w:left w:w="120" w:type="dxa"/>
              <w:bottom w:w="100" w:type="dxa"/>
              <w:right w:w="120" w:type="dxa"/>
            </w:tcMar>
            <w:vAlign w:val="center"/>
          </w:tcPr>
          <w:p w14:paraId="3CEBAF56"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Customers</w:t>
            </w:r>
          </w:p>
        </w:tc>
        <w:tc>
          <w:tcPr>
            <w:tcW w:w="2413" w:type="dxa"/>
            <w:shd w:val="clear" w:color="auto" w:fill="1B2A4A"/>
            <w:tcMar>
              <w:top w:w="100" w:type="dxa"/>
              <w:left w:w="120" w:type="dxa"/>
              <w:bottom w:w="100" w:type="dxa"/>
              <w:right w:w="120" w:type="dxa"/>
            </w:tcMar>
            <w:vAlign w:val="center"/>
          </w:tcPr>
          <w:p w14:paraId="38B239E7"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 Rate</w:t>
            </w:r>
          </w:p>
        </w:tc>
      </w:tr>
      <w:tr w:rsidR="00C83590" w:rsidRPr="00ED1409" w14:paraId="5A482837"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26357EB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Active Engaged (Multi-Product)</w:t>
            </w:r>
          </w:p>
        </w:tc>
        <w:tc>
          <w:tcPr>
            <w:tcW w:w="2413" w:type="dxa"/>
            <w:shd w:val="clear" w:color="auto" w:fill="FFFFFF"/>
            <w:tcMar>
              <w:top w:w="100" w:type="dxa"/>
              <w:left w:w="120" w:type="dxa"/>
              <w:bottom w:w="100" w:type="dxa"/>
              <w:right w:w="120" w:type="dxa"/>
            </w:tcMar>
            <w:vAlign w:val="center"/>
          </w:tcPr>
          <w:p w14:paraId="6D4B77FD"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2,588</w:t>
            </w:r>
          </w:p>
        </w:tc>
        <w:tc>
          <w:tcPr>
            <w:tcW w:w="2413" w:type="dxa"/>
            <w:shd w:val="clear" w:color="auto" w:fill="FFFFFF"/>
            <w:tcMar>
              <w:top w:w="100" w:type="dxa"/>
              <w:left w:w="120" w:type="dxa"/>
              <w:bottom w:w="100" w:type="dxa"/>
              <w:right w:w="120" w:type="dxa"/>
            </w:tcMar>
            <w:vAlign w:val="center"/>
          </w:tcPr>
          <w:p w14:paraId="03471DA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9.7%</w:t>
            </w:r>
          </w:p>
        </w:tc>
      </w:tr>
      <w:tr w:rsidR="00C83590" w:rsidRPr="00ED1409" w14:paraId="39504E03" w14:textId="77777777">
        <w:tblPrEx>
          <w:tblCellMar>
            <w:top w:w="0" w:type="dxa"/>
            <w:bottom w:w="0" w:type="dxa"/>
          </w:tblCellMar>
        </w:tblPrEx>
        <w:tc>
          <w:tcPr>
            <w:tcW w:w="4200" w:type="dxa"/>
            <w:shd w:val="clear" w:color="auto" w:fill="F2F3F5"/>
            <w:tcMar>
              <w:top w:w="100" w:type="dxa"/>
              <w:left w:w="120" w:type="dxa"/>
              <w:bottom w:w="100" w:type="dxa"/>
              <w:right w:w="120" w:type="dxa"/>
            </w:tcMar>
            <w:vAlign w:val="center"/>
          </w:tcPr>
          <w:p w14:paraId="1D3B9C7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Active, Low-Product</w:t>
            </w:r>
          </w:p>
        </w:tc>
        <w:tc>
          <w:tcPr>
            <w:tcW w:w="2413" w:type="dxa"/>
            <w:shd w:val="clear" w:color="auto" w:fill="F2F3F5"/>
            <w:tcMar>
              <w:top w:w="100" w:type="dxa"/>
              <w:left w:w="120" w:type="dxa"/>
              <w:bottom w:w="100" w:type="dxa"/>
              <w:right w:w="120" w:type="dxa"/>
            </w:tcMar>
            <w:vAlign w:val="center"/>
          </w:tcPr>
          <w:p w14:paraId="12EDC9C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2,563</w:t>
            </w:r>
          </w:p>
        </w:tc>
        <w:tc>
          <w:tcPr>
            <w:tcW w:w="2413" w:type="dxa"/>
            <w:shd w:val="clear" w:color="auto" w:fill="F2F3F5"/>
            <w:tcMar>
              <w:top w:w="100" w:type="dxa"/>
              <w:left w:w="120" w:type="dxa"/>
              <w:bottom w:w="100" w:type="dxa"/>
              <w:right w:w="120" w:type="dxa"/>
            </w:tcMar>
            <w:vAlign w:val="center"/>
          </w:tcPr>
          <w:p w14:paraId="4762EDF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18.9%</w:t>
            </w:r>
          </w:p>
        </w:tc>
      </w:tr>
      <w:tr w:rsidR="00C83590" w:rsidRPr="00ED1409" w14:paraId="19472184"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58CD99C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Inactive, High-Balance</w:t>
            </w:r>
          </w:p>
        </w:tc>
        <w:tc>
          <w:tcPr>
            <w:tcW w:w="2413" w:type="dxa"/>
            <w:shd w:val="clear" w:color="auto" w:fill="FFFFFF"/>
            <w:tcMar>
              <w:top w:w="100" w:type="dxa"/>
              <w:left w:w="120" w:type="dxa"/>
              <w:bottom w:w="100" w:type="dxa"/>
              <w:right w:w="120" w:type="dxa"/>
            </w:tcMar>
            <w:vAlign w:val="center"/>
          </w:tcPr>
          <w:p w14:paraId="6291A5E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1,247</w:t>
            </w:r>
          </w:p>
        </w:tc>
        <w:tc>
          <w:tcPr>
            <w:tcW w:w="2413" w:type="dxa"/>
            <w:shd w:val="clear" w:color="auto" w:fill="FFFFFF"/>
            <w:tcMar>
              <w:top w:w="100" w:type="dxa"/>
              <w:left w:w="120" w:type="dxa"/>
              <w:bottom w:w="100" w:type="dxa"/>
              <w:right w:w="120" w:type="dxa"/>
            </w:tcMar>
            <w:vAlign w:val="center"/>
          </w:tcPr>
          <w:p w14:paraId="0896B91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30.5%</w:t>
            </w:r>
          </w:p>
        </w:tc>
      </w:tr>
      <w:tr w:rsidR="00C83590" w:rsidRPr="00ED1409" w14:paraId="679D944F" w14:textId="77777777">
        <w:tblPrEx>
          <w:tblCellMar>
            <w:top w:w="0" w:type="dxa"/>
            <w:bottom w:w="0" w:type="dxa"/>
          </w:tblCellMar>
        </w:tblPrEx>
        <w:tc>
          <w:tcPr>
            <w:tcW w:w="4200" w:type="dxa"/>
            <w:shd w:val="clear" w:color="auto" w:fill="F2F3F5"/>
            <w:tcMar>
              <w:top w:w="100" w:type="dxa"/>
              <w:left w:w="120" w:type="dxa"/>
              <w:bottom w:w="100" w:type="dxa"/>
              <w:right w:w="120" w:type="dxa"/>
            </w:tcMar>
            <w:vAlign w:val="center"/>
          </w:tcPr>
          <w:p w14:paraId="58DD71FC"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Inactive, Disengaged</w:t>
            </w:r>
          </w:p>
        </w:tc>
        <w:tc>
          <w:tcPr>
            <w:tcW w:w="2413" w:type="dxa"/>
            <w:shd w:val="clear" w:color="auto" w:fill="F2F3F5"/>
            <w:tcMar>
              <w:top w:w="100" w:type="dxa"/>
              <w:left w:w="120" w:type="dxa"/>
              <w:bottom w:w="100" w:type="dxa"/>
              <w:right w:w="120" w:type="dxa"/>
            </w:tcMar>
            <w:vAlign w:val="center"/>
          </w:tcPr>
          <w:p w14:paraId="426AB0C1"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3,602</w:t>
            </w:r>
          </w:p>
        </w:tc>
        <w:tc>
          <w:tcPr>
            <w:tcW w:w="2413" w:type="dxa"/>
            <w:shd w:val="clear" w:color="auto" w:fill="F2F3F5"/>
            <w:tcMar>
              <w:top w:w="100" w:type="dxa"/>
              <w:left w:w="120" w:type="dxa"/>
              <w:bottom w:w="100" w:type="dxa"/>
              <w:right w:w="120" w:type="dxa"/>
            </w:tcMar>
            <w:vAlign w:val="center"/>
          </w:tcPr>
          <w:p w14:paraId="120BBEA6"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25.6%</w:t>
            </w:r>
          </w:p>
        </w:tc>
      </w:tr>
    </w:tbl>
    <w:p w14:paraId="234F88C5" w14:textId="77777777" w:rsidR="00C83590" w:rsidRPr="00ED1409" w:rsidRDefault="00C83590">
      <w:pPr>
        <w:spacing w:after="200"/>
        <w:rPr>
          <w:rFonts w:ascii="Times New Roman" w:hAnsi="Times New Roman" w:cs="Times New Roman"/>
        </w:rPr>
      </w:pPr>
    </w:p>
    <w:p w14:paraId="3D3EC0E3"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55CAC7B7" wp14:editId="5F5C9B5C">
            <wp:extent cx="4762500" cy="2981325"/>
            <wp:effectExtent l="0" t="0" r="0" b="0"/>
            <wp:docPr id="1239134659" name="Picture 1239134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81325"/>
                    </a:xfrm>
                    <a:prstGeom prst="rect">
                      <a:avLst/>
                    </a:prstGeom>
                  </pic:spPr>
                </pic:pic>
              </a:graphicData>
            </a:graphic>
          </wp:inline>
        </w:drawing>
      </w:r>
    </w:p>
    <w:p w14:paraId="2B7A9DB5"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2. Churn rate by engagement profile.</w:t>
      </w:r>
    </w:p>
    <w:p w14:paraId="1A00E90C"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The gap between the strongest and weakest profiles is stark: </w:t>
      </w:r>
      <w:r w:rsidRPr="00ED1409">
        <w:rPr>
          <w:rFonts w:ascii="Times New Roman" w:hAnsi="Times New Roman" w:cs="Times New Roman"/>
          <w:b/>
          <w:bCs/>
          <w:sz w:val="22"/>
          <w:szCs w:val="22"/>
        </w:rPr>
        <w:t>Active Engaged customers churn at 9.7%</w:t>
      </w:r>
      <w:r w:rsidRPr="00ED1409">
        <w:rPr>
          <w:rFonts w:ascii="Times New Roman" w:hAnsi="Times New Roman" w:cs="Times New Roman"/>
          <w:sz w:val="22"/>
          <w:szCs w:val="22"/>
        </w:rPr>
        <w:t xml:space="preserve">, roughly </w:t>
      </w:r>
      <w:r w:rsidRPr="00ED1409">
        <w:rPr>
          <w:rFonts w:ascii="Times New Roman" w:hAnsi="Times New Roman" w:cs="Times New Roman"/>
          <w:b/>
          <w:bCs/>
          <w:sz w:val="22"/>
          <w:szCs w:val="22"/>
        </w:rPr>
        <w:t>one-third the rate</w:t>
      </w:r>
      <w:r w:rsidRPr="00ED1409">
        <w:rPr>
          <w:rFonts w:ascii="Times New Roman" w:hAnsi="Times New Roman" w:cs="Times New Roman"/>
          <w:sz w:val="22"/>
          <w:szCs w:val="22"/>
        </w:rPr>
        <w:t xml:space="preserve"> of </w:t>
      </w:r>
      <w:r w:rsidRPr="00ED1409">
        <w:rPr>
          <w:rFonts w:ascii="Times New Roman" w:hAnsi="Times New Roman" w:cs="Times New Roman"/>
          <w:b/>
          <w:bCs/>
          <w:sz w:val="22"/>
          <w:szCs w:val="22"/>
        </w:rPr>
        <w:t>Inactive High-Balance customers at 30.5%</w:t>
      </w:r>
      <w:r w:rsidRPr="00ED1409">
        <w:rPr>
          <w:rFonts w:ascii="Times New Roman" w:hAnsi="Times New Roman" w:cs="Times New Roman"/>
          <w:sz w:val="22"/>
          <w:szCs w:val="22"/>
        </w:rPr>
        <w:t>. Critically, the single largest profile by headcount is Inactive, Disengaged (3,602 customers, 36% of the portfolio), churning at 25.6% — well above baseline. Engagement status alone separates the healthiest and highest-risk cohorts more cleanly than any single demographic variable tested in this study.</w:t>
      </w:r>
    </w:p>
    <w:p w14:paraId="2FF91EFE" w14:textId="77777777" w:rsidR="00C83590" w:rsidRPr="00ED1409" w:rsidRDefault="009F5187">
      <w:pPr>
        <w:rPr>
          <w:rFonts w:ascii="Times New Roman" w:hAnsi="Times New Roman" w:cs="Times New Roman"/>
          <w:sz w:val="22"/>
          <w:szCs w:val="22"/>
        </w:rPr>
      </w:pPr>
      <w:r w:rsidRPr="00ED1409">
        <w:rPr>
          <w:rFonts w:ascii="Times New Roman" w:hAnsi="Times New Roman" w:cs="Times New Roman"/>
          <w:sz w:val="22"/>
          <w:szCs w:val="22"/>
        </w:rPr>
        <w:br w:type="page"/>
      </w:r>
    </w:p>
    <w:p w14:paraId="0326C181" w14:textId="77777777" w:rsidR="00C83590" w:rsidRPr="00ED1409" w:rsidRDefault="009F5187">
      <w:pPr>
        <w:pStyle w:val="Heading2"/>
        <w:spacing w:before="320" w:after="160"/>
        <w:rPr>
          <w:rFonts w:ascii="Times New Roman" w:hAnsi="Times New Roman" w:cs="Times New Roman"/>
        </w:rPr>
      </w:pPr>
      <w:bookmarkStart w:id="18" w:name="_Toc235001494"/>
      <w:proofErr w:type="gramStart"/>
      <w:r w:rsidRPr="00ED1409">
        <w:rPr>
          <w:rFonts w:ascii="Times New Roman" w:hAnsi="Times New Roman" w:cs="Times New Roman"/>
          <w:b/>
          <w:bCs/>
          <w:color w:val="1E8A8A"/>
        </w:rPr>
        <w:lastRenderedPageBreak/>
        <w:t>6.3  Product</w:t>
      </w:r>
      <w:proofErr w:type="gramEnd"/>
      <w:r w:rsidRPr="00ED1409">
        <w:rPr>
          <w:rFonts w:ascii="Times New Roman" w:hAnsi="Times New Roman" w:cs="Times New Roman"/>
          <w:b/>
          <w:bCs/>
          <w:color w:val="1E8A8A"/>
        </w:rPr>
        <w:t xml:space="preserve"> Utilization Analysis — The Product Depth Paradox</w:t>
      </w:r>
      <w:bookmarkEnd w:id="18"/>
    </w:p>
    <w:p w14:paraId="00DA336E"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A naive assumption would hold that more products sold means a deeper, stickier relationship. The data reject this assumption outright, revealing instead a sharp non-linear "paradox":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83590" w:rsidRPr="00ED1409" w14:paraId="29C534B9" w14:textId="77777777">
        <w:tblPrEx>
          <w:tblCellMar>
            <w:top w:w="0" w:type="dxa"/>
            <w:bottom w:w="0" w:type="dxa"/>
          </w:tblCellMar>
        </w:tblPrEx>
        <w:trPr>
          <w:tblHeader/>
        </w:trPr>
        <w:tc>
          <w:tcPr>
            <w:tcW w:w="3000" w:type="dxa"/>
            <w:shd w:val="clear" w:color="auto" w:fill="1B2A4A"/>
            <w:tcMar>
              <w:top w:w="100" w:type="dxa"/>
              <w:left w:w="120" w:type="dxa"/>
              <w:bottom w:w="100" w:type="dxa"/>
              <w:right w:w="120" w:type="dxa"/>
            </w:tcMar>
            <w:vAlign w:val="center"/>
          </w:tcPr>
          <w:p w14:paraId="4DF3B3F7"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Products Held</w:t>
            </w:r>
          </w:p>
        </w:tc>
        <w:tc>
          <w:tcPr>
            <w:tcW w:w="3013" w:type="dxa"/>
            <w:shd w:val="clear" w:color="auto" w:fill="1B2A4A"/>
            <w:tcMar>
              <w:top w:w="100" w:type="dxa"/>
              <w:left w:w="120" w:type="dxa"/>
              <w:bottom w:w="100" w:type="dxa"/>
              <w:right w:w="120" w:type="dxa"/>
            </w:tcMar>
            <w:vAlign w:val="center"/>
          </w:tcPr>
          <w:p w14:paraId="194BF3A0"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Customers</w:t>
            </w:r>
          </w:p>
        </w:tc>
        <w:tc>
          <w:tcPr>
            <w:tcW w:w="3013" w:type="dxa"/>
            <w:shd w:val="clear" w:color="auto" w:fill="1B2A4A"/>
            <w:tcMar>
              <w:top w:w="100" w:type="dxa"/>
              <w:left w:w="120" w:type="dxa"/>
              <w:bottom w:w="100" w:type="dxa"/>
              <w:right w:w="120" w:type="dxa"/>
            </w:tcMar>
            <w:vAlign w:val="center"/>
          </w:tcPr>
          <w:p w14:paraId="11CE1340"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 Rate</w:t>
            </w:r>
          </w:p>
        </w:tc>
      </w:tr>
      <w:tr w:rsidR="00C83590" w:rsidRPr="00ED1409" w14:paraId="1EB56450"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0D84791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 product</w:t>
            </w:r>
          </w:p>
        </w:tc>
        <w:tc>
          <w:tcPr>
            <w:tcW w:w="3013" w:type="dxa"/>
            <w:shd w:val="clear" w:color="auto" w:fill="FFFFFF"/>
            <w:tcMar>
              <w:top w:w="100" w:type="dxa"/>
              <w:left w:w="120" w:type="dxa"/>
              <w:bottom w:w="100" w:type="dxa"/>
              <w:right w:w="120" w:type="dxa"/>
            </w:tcMar>
            <w:vAlign w:val="center"/>
          </w:tcPr>
          <w:p w14:paraId="2E25758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5,084</w:t>
            </w:r>
          </w:p>
        </w:tc>
        <w:tc>
          <w:tcPr>
            <w:tcW w:w="3013" w:type="dxa"/>
            <w:shd w:val="clear" w:color="auto" w:fill="FFFFFF"/>
            <w:tcMar>
              <w:top w:w="100" w:type="dxa"/>
              <w:left w:w="120" w:type="dxa"/>
              <w:bottom w:w="100" w:type="dxa"/>
              <w:right w:w="120" w:type="dxa"/>
            </w:tcMar>
            <w:vAlign w:val="center"/>
          </w:tcPr>
          <w:p w14:paraId="6E1B0C5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27.7%</w:t>
            </w:r>
          </w:p>
        </w:tc>
      </w:tr>
      <w:tr w:rsidR="00C83590" w:rsidRPr="00ED1409" w14:paraId="367E3285" w14:textId="77777777">
        <w:tblPrEx>
          <w:tblCellMar>
            <w:top w:w="0" w:type="dxa"/>
            <w:bottom w:w="0" w:type="dxa"/>
          </w:tblCellMar>
        </w:tblPrEx>
        <w:tc>
          <w:tcPr>
            <w:tcW w:w="3000" w:type="dxa"/>
            <w:shd w:val="clear" w:color="auto" w:fill="F2F3F5"/>
            <w:tcMar>
              <w:top w:w="100" w:type="dxa"/>
              <w:left w:w="120" w:type="dxa"/>
              <w:bottom w:w="100" w:type="dxa"/>
              <w:right w:w="120" w:type="dxa"/>
            </w:tcMar>
            <w:vAlign w:val="center"/>
          </w:tcPr>
          <w:p w14:paraId="2FD60A8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 products</w:t>
            </w:r>
          </w:p>
        </w:tc>
        <w:tc>
          <w:tcPr>
            <w:tcW w:w="3013" w:type="dxa"/>
            <w:shd w:val="clear" w:color="auto" w:fill="F2F3F5"/>
            <w:tcMar>
              <w:top w:w="100" w:type="dxa"/>
              <w:left w:w="120" w:type="dxa"/>
              <w:bottom w:w="100" w:type="dxa"/>
              <w:right w:w="120" w:type="dxa"/>
            </w:tcMar>
            <w:vAlign w:val="center"/>
          </w:tcPr>
          <w:p w14:paraId="415EE97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4,590</w:t>
            </w:r>
          </w:p>
        </w:tc>
        <w:tc>
          <w:tcPr>
            <w:tcW w:w="3013" w:type="dxa"/>
            <w:shd w:val="clear" w:color="auto" w:fill="F2F3F5"/>
            <w:tcMar>
              <w:top w:w="100" w:type="dxa"/>
              <w:left w:w="120" w:type="dxa"/>
              <w:bottom w:w="100" w:type="dxa"/>
              <w:right w:w="120" w:type="dxa"/>
            </w:tcMar>
            <w:vAlign w:val="center"/>
          </w:tcPr>
          <w:p w14:paraId="712F167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7.6%</w:t>
            </w:r>
          </w:p>
        </w:tc>
      </w:tr>
      <w:tr w:rsidR="00C83590" w:rsidRPr="00ED1409" w14:paraId="25CB2C94"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2264D6E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 products</w:t>
            </w:r>
          </w:p>
        </w:tc>
        <w:tc>
          <w:tcPr>
            <w:tcW w:w="3013" w:type="dxa"/>
            <w:shd w:val="clear" w:color="auto" w:fill="FFFFFF"/>
            <w:tcMar>
              <w:top w:w="100" w:type="dxa"/>
              <w:left w:w="120" w:type="dxa"/>
              <w:bottom w:w="100" w:type="dxa"/>
              <w:right w:w="120" w:type="dxa"/>
            </w:tcMar>
            <w:vAlign w:val="center"/>
          </w:tcPr>
          <w:p w14:paraId="1194694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266</w:t>
            </w:r>
          </w:p>
        </w:tc>
        <w:tc>
          <w:tcPr>
            <w:tcW w:w="3013" w:type="dxa"/>
            <w:shd w:val="clear" w:color="auto" w:fill="FFFFFF"/>
            <w:tcMar>
              <w:top w:w="100" w:type="dxa"/>
              <w:left w:w="120" w:type="dxa"/>
              <w:bottom w:w="100" w:type="dxa"/>
              <w:right w:w="120" w:type="dxa"/>
            </w:tcMar>
            <w:vAlign w:val="center"/>
          </w:tcPr>
          <w:p w14:paraId="0597A61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82.7%</w:t>
            </w:r>
          </w:p>
        </w:tc>
      </w:tr>
      <w:tr w:rsidR="00C83590" w:rsidRPr="00ED1409" w14:paraId="14AE426C" w14:textId="77777777">
        <w:tblPrEx>
          <w:tblCellMar>
            <w:top w:w="0" w:type="dxa"/>
            <w:bottom w:w="0" w:type="dxa"/>
          </w:tblCellMar>
        </w:tblPrEx>
        <w:tc>
          <w:tcPr>
            <w:tcW w:w="3000" w:type="dxa"/>
            <w:shd w:val="clear" w:color="auto" w:fill="F2F3F5"/>
            <w:tcMar>
              <w:top w:w="100" w:type="dxa"/>
              <w:left w:w="120" w:type="dxa"/>
              <w:bottom w:w="100" w:type="dxa"/>
              <w:right w:w="120" w:type="dxa"/>
            </w:tcMar>
            <w:vAlign w:val="center"/>
          </w:tcPr>
          <w:p w14:paraId="7E79DF0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 products</w:t>
            </w:r>
          </w:p>
        </w:tc>
        <w:tc>
          <w:tcPr>
            <w:tcW w:w="3013" w:type="dxa"/>
            <w:shd w:val="clear" w:color="auto" w:fill="F2F3F5"/>
            <w:tcMar>
              <w:top w:w="100" w:type="dxa"/>
              <w:left w:w="120" w:type="dxa"/>
              <w:bottom w:w="100" w:type="dxa"/>
              <w:right w:w="120" w:type="dxa"/>
            </w:tcMar>
            <w:vAlign w:val="center"/>
          </w:tcPr>
          <w:p w14:paraId="246E621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60</w:t>
            </w:r>
          </w:p>
        </w:tc>
        <w:tc>
          <w:tcPr>
            <w:tcW w:w="3013" w:type="dxa"/>
            <w:shd w:val="clear" w:color="auto" w:fill="F2F3F5"/>
            <w:tcMar>
              <w:top w:w="100" w:type="dxa"/>
              <w:left w:w="120" w:type="dxa"/>
              <w:bottom w:w="100" w:type="dxa"/>
              <w:right w:w="120" w:type="dxa"/>
            </w:tcMar>
            <w:vAlign w:val="center"/>
          </w:tcPr>
          <w:p w14:paraId="39B5F61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100.0%</w:t>
            </w:r>
          </w:p>
        </w:tc>
      </w:tr>
    </w:tbl>
    <w:p w14:paraId="7C36E4F3" w14:textId="77777777" w:rsidR="00C83590" w:rsidRPr="00ED1409" w:rsidRDefault="00C83590">
      <w:pPr>
        <w:spacing w:after="200"/>
        <w:rPr>
          <w:rFonts w:ascii="Times New Roman" w:hAnsi="Times New Roman" w:cs="Times New Roman"/>
        </w:rPr>
      </w:pPr>
    </w:p>
    <w:p w14:paraId="60FA3590"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7EC0F721" wp14:editId="4BD59D9B">
            <wp:extent cx="4762500" cy="2981325"/>
            <wp:effectExtent l="0" t="0" r="0" b="0"/>
            <wp:docPr id="64989113" name="Picture 6498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81325"/>
                    </a:xfrm>
                    <a:prstGeom prst="rect">
                      <a:avLst/>
                    </a:prstGeom>
                  </pic:spPr>
                </pic:pic>
              </a:graphicData>
            </a:graphic>
          </wp:inline>
        </w:drawing>
      </w:r>
    </w:p>
    <w:p w14:paraId="79E5B5BE"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3. Churn rate by number of products held — note the inflection at three products.</w:t>
      </w:r>
    </w:p>
    <w:p w14:paraId="7C7A3175"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Retention improves substantially from one product (27.7% churn) to two products (7.6% churn) — a </w:t>
      </w:r>
      <w:r w:rsidRPr="00ED1409">
        <w:rPr>
          <w:rFonts w:ascii="Times New Roman" w:hAnsi="Times New Roman" w:cs="Times New Roman"/>
          <w:b/>
          <w:bCs/>
          <w:sz w:val="22"/>
          <w:szCs w:val="22"/>
        </w:rPr>
        <w:t>72% relative reduction</w:t>
      </w:r>
      <w:r w:rsidRPr="00ED1409">
        <w:rPr>
          <w:rFonts w:ascii="Times New Roman" w:hAnsi="Times New Roman" w:cs="Times New Roman"/>
          <w:sz w:val="22"/>
          <w:szCs w:val="22"/>
        </w:rPr>
        <w:t xml:space="preserve"> in churn risk and the single strongest product-tier effect in the dataset. But the pattern inverts violently beyond two products: the </w:t>
      </w:r>
      <w:r w:rsidRPr="00ED1409">
        <w:rPr>
          <w:rFonts w:ascii="Times New Roman" w:hAnsi="Times New Roman" w:cs="Times New Roman"/>
          <w:b/>
          <w:bCs/>
          <w:sz w:val="22"/>
          <w:szCs w:val="22"/>
        </w:rPr>
        <w:t>326 customers holding three or more products churn at 85.9%</w:t>
      </w:r>
      <w:r w:rsidRPr="00ED1409">
        <w:rPr>
          <w:rFonts w:ascii="Times New Roman" w:hAnsi="Times New Roman" w:cs="Times New Roman"/>
          <w:sz w:val="22"/>
          <w:szCs w:val="22"/>
        </w:rPr>
        <w:t>, including a 100% churn rate among the 60 four-product holders. This is not a story of "more products, more loyalty" — it is far more consistent with over-exposed or distressed relationships: customers issued additional products late in a soured relationship (e.g., as a retention or cross-sell push after dissatisfaction had already set in), or product bundles that created servicing friction rather than value.</w:t>
      </w:r>
    </w:p>
    <w:p w14:paraId="76C84405"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b/>
          <w:bCs/>
          <w:sz w:val="22"/>
          <w:szCs w:val="22"/>
        </w:rPr>
        <w:t xml:space="preserve">Methodological note: </w:t>
      </w:r>
      <w:r w:rsidRPr="00ED1409">
        <w:rPr>
          <w:rFonts w:ascii="Times New Roman" w:hAnsi="Times New Roman" w:cs="Times New Roman"/>
          <w:i/>
          <w:iCs/>
          <w:color w:val="6B7280"/>
          <w:sz w:val="22"/>
          <w:szCs w:val="22"/>
        </w:rPr>
        <w:t xml:space="preserve">Because this relationship is U-shaped rather than linear, a standard linear correlation between </w:t>
      </w:r>
      <w:proofErr w:type="spellStart"/>
      <w:r w:rsidRPr="00ED1409">
        <w:rPr>
          <w:rFonts w:ascii="Times New Roman" w:hAnsi="Times New Roman" w:cs="Times New Roman"/>
          <w:i/>
          <w:iCs/>
          <w:color w:val="6B7280"/>
          <w:sz w:val="22"/>
          <w:szCs w:val="22"/>
        </w:rPr>
        <w:t>NumOfProducts</w:t>
      </w:r>
      <w:proofErr w:type="spellEnd"/>
      <w:r w:rsidRPr="00ED1409">
        <w:rPr>
          <w:rFonts w:ascii="Times New Roman" w:hAnsi="Times New Roman" w:cs="Times New Roman"/>
          <w:i/>
          <w:iCs/>
          <w:color w:val="6B7280"/>
          <w:sz w:val="22"/>
          <w:szCs w:val="22"/>
        </w:rPr>
        <w:t xml:space="preserve"> and churn is weak and misleading (Pearson r ≈ −0.05). Segment-level tabulation, not correlation, is required to detect this pattern — a caution that applies broadly whenever "more is better" is assumed for a </w:t>
      </w:r>
      <w:proofErr w:type="spellStart"/>
      <w:r w:rsidRPr="00ED1409">
        <w:rPr>
          <w:rFonts w:ascii="Times New Roman" w:hAnsi="Times New Roman" w:cs="Times New Roman"/>
          <w:i/>
          <w:iCs/>
          <w:color w:val="6B7280"/>
          <w:sz w:val="22"/>
          <w:szCs w:val="22"/>
        </w:rPr>
        <w:t>behavioral</w:t>
      </w:r>
      <w:proofErr w:type="spellEnd"/>
      <w:r w:rsidRPr="00ED1409">
        <w:rPr>
          <w:rFonts w:ascii="Times New Roman" w:hAnsi="Times New Roman" w:cs="Times New Roman"/>
          <w:i/>
          <w:iCs/>
          <w:color w:val="6B7280"/>
          <w:sz w:val="22"/>
          <w:szCs w:val="22"/>
        </w:rPr>
        <w:t xml:space="preserve"> variable.</w:t>
      </w:r>
    </w:p>
    <w:p w14:paraId="7BE67105" w14:textId="77777777" w:rsidR="00C83590" w:rsidRPr="00ED1409" w:rsidRDefault="009F5187">
      <w:pPr>
        <w:rPr>
          <w:rFonts w:ascii="Times New Roman" w:hAnsi="Times New Roman" w:cs="Times New Roman"/>
          <w:sz w:val="22"/>
          <w:szCs w:val="22"/>
        </w:rPr>
      </w:pPr>
      <w:r w:rsidRPr="00ED1409">
        <w:rPr>
          <w:rFonts w:ascii="Times New Roman" w:hAnsi="Times New Roman" w:cs="Times New Roman"/>
          <w:sz w:val="22"/>
          <w:szCs w:val="22"/>
        </w:rPr>
        <w:br w:type="page"/>
      </w:r>
    </w:p>
    <w:p w14:paraId="528ABABC" w14:textId="77777777" w:rsidR="00C83590" w:rsidRPr="00ED1409" w:rsidRDefault="009F5187">
      <w:pPr>
        <w:pStyle w:val="Heading2"/>
        <w:spacing w:before="320" w:after="160"/>
        <w:rPr>
          <w:rFonts w:ascii="Times New Roman" w:hAnsi="Times New Roman" w:cs="Times New Roman"/>
        </w:rPr>
      </w:pPr>
      <w:bookmarkStart w:id="19" w:name="_Toc235001495"/>
      <w:proofErr w:type="gramStart"/>
      <w:r w:rsidRPr="00ED1409">
        <w:rPr>
          <w:rFonts w:ascii="Times New Roman" w:hAnsi="Times New Roman" w:cs="Times New Roman"/>
          <w:b/>
          <w:bCs/>
          <w:color w:val="1E8A8A"/>
        </w:rPr>
        <w:lastRenderedPageBreak/>
        <w:t>6.4  Financial</w:t>
      </w:r>
      <w:proofErr w:type="gramEnd"/>
      <w:r w:rsidRPr="00ED1409">
        <w:rPr>
          <w:rFonts w:ascii="Times New Roman" w:hAnsi="Times New Roman" w:cs="Times New Roman"/>
          <w:b/>
          <w:bCs/>
          <w:color w:val="1E8A8A"/>
        </w:rPr>
        <w:t xml:space="preserve"> Commitment vs. Engagement Analysis</w:t>
      </w:r>
      <w:bookmarkEnd w:id="19"/>
    </w:p>
    <w:p w14:paraId="2F2AAA1F"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Using the top quartile of account balance (≥ €127,644) as a "high-balance" threshold, </w:t>
      </w:r>
      <w:r w:rsidRPr="00ED1409">
        <w:rPr>
          <w:rFonts w:ascii="Times New Roman" w:hAnsi="Times New Roman" w:cs="Times New Roman"/>
          <w:b/>
          <w:bCs/>
          <w:sz w:val="22"/>
          <w:szCs w:val="22"/>
        </w:rPr>
        <w:t>49.9% of high-balance customers are inactive</w:t>
      </w:r>
      <w:r w:rsidRPr="00ED1409">
        <w:rPr>
          <w:rFonts w:ascii="Times New Roman" w:hAnsi="Times New Roman" w:cs="Times New Roman"/>
          <w:sz w:val="22"/>
          <w:szCs w:val="22"/>
        </w:rPr>
        <w:t xml:space="preserve"> — essentially a coin flip. This directly tests, and disproves, the assumption that wealthier customers are automatically more engaged.</w:t>
      </w:r>
    </w:p>
    <w:p w14:paraId="12CD295A"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5D0C1D72" wp14:editId="34D28BF6">
            <wp:extent cx="4762500" cy="2981325"/>
            <wp:effectExtent l="0" t="0" r="0" b="0"/>
            <wp:docPr id="1776200189" name="Picture 17762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981325"/>
                    </a:xfrm>
                    <a:prstGeom prst="rect">
                      <a:avLst/>
                    </a:prstGeom>
                  </pic:spPr>
                </pic:pic>
              </a:graphicData>
            </a:graphic>
          </wp:inline>
        </w:drawing>
      </w:r>
    </w:p>
    <w:p w14:paraId="63B81D1D"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4. Churn rate by balance tier and engagement status.</w:t>
      </w:r>
    </w:p>
    <w:p w14:paraId="2941BCF3"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Among high-balance customers, engagement — not the balance itself — determines outcome: active high-balance customers churn at </w:t>
      </w:r>
      <w:r w:rsidRPr="00ED1409">
        <w:rPr>
          <w:rFonts w:ascii="Times New Roman" w:hAnsi="Times New Roman" w:cs="Times New Roman"/>
          <w:b/>
          <w:bCs/>
          <w:sz w:val="22"/>
          <w:szCs w:val="22"/>
        </w:rPr>
        <w:t>16.9%</w:t>
      </w:r>
      <w:r w:rsidRPr="00ED1409">
        <w:rPr>
          <w:rFonts w:ascii="Times New Roman" w:hAnsi="Times New Roman" w:cs="Times New Roman"/>
          <w:sz w:val="22"/>
          <w:szCs w:val="22"/>
        </w:rPr>
        <w:t xml:space="preserve">, while inactive high-balance customers churn at </w:t>
      </w:r>
      <w:r w:rsidRPr="00ED1409">
        <w:rPr>
          <w:rFonts w:ascii="Times New Roman" w:hAnsi="Times New Roman" w:cs="Times New Roman"/>
          <w:b/>
          <w:bCs/>
          <w:sz w:val="22"/>
          <w:szCs w:val="22"/>
        </w:rPr>
        <w:t>30.5%</w:t>
      </w:r>
      <w:r w:rsidRPr="00ED1409">
        <w:rPr>
          <w:rFonts w:ascii="Times New Roman" w:hAnsi="Times New Roman" w:cs="Times New Roman"/>
          <w:sz w:val="22"/>
          <w:szCs w:val="22"/>
        </w:rPr>
        <w:t xml:space="preserve">, a gap of nearly 14 percentage points driven entirely by activity status. This </w:t>
      </w:r>
      <w:r w:rsidRPr="00ED1409">
        <w:rPr>
          <w:rFonts w:ascii="Times New Roman" w:hAnsi="Times New Roman" w:cs="Times New Roman"/>
          <w:b/>
          <w:bCs/>
          <w:sz w:val="22"/>
          <w:szCs w:val="22"/>
        </w:rPr>
        <w:t>1,247-customer "at-risk premium" segment</w:t>
      </w:r>
      <w:r w:rsidRPr="00ED1409">
        <w:rPr>
          <w:rFonts w:ascii="Times New Roman" w:hAnsi="Times New Roman" w:cs="Times New Roman"/>
          <w:sz w:val="22"/>
          <w:szCs w:val="22"/>
        </w:rPr>
        <w:t xml:space="preserve"> collectively holds </w:t>
      </w:r>
      <w:r w:rsidRPr="00ED1409">
        <w:rPr>
          <w:rFonts w:ascii="Times New Roman" w:hAnsi="Times New Roman" w:cs="Times New Roman"/>
          <w:b/>
          <w:bCs/>
          <w:sz w:val="22"/>
          <w:szCs w:val="22"/>
        </w:rPr>
        <w:t>€185.6 million — 24.3% of total portfolio deposits</w:t>
      </w:r>
      <w:r w:rsidRPr="00ED1409">
        <w:rPr>
          <w:rFonts w:ascii="Times New Roman" w:hAnsi="Times New Roman" w:cs="Times New Roman"/>
          <w:sz w:val="22"/>
          <w:szCs w:val="22"/>
        </w:rPr>
        <w:t>. Of these, 380 customers have already churned, representing roughly €56.9 million in departed balances. This is the clearest evidence of "silent churn": financially attractive customers who present no obvious warning sign apart from disengagement.</w:t>
      </w:r>
    </w:p>
    <w:p w14:paraId="59FA80D4"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A secondary check for salary–balance mismatch (customers in the top salary quartile but bottom balance quartile — high earning capacity, low deposit commitment) identified 891 customers. Their churn rate, 14.8%, is actually </w:t>
      </w:r>
      <w:r w:rsidRPr="00ED1409">
        <w:rPr>
          <w:rFonts w:ascii="Times New Roman" w:hAnsi="Times New Roman" w:cs="Times New Roman"/>
          <w:b/>
          <w:bCs/>
          <w:sz w:val="22"/>
          <w:szCs w:val="22"/>
        </w:rPr>
        <w:t>below</w:t>
      </w:r>
      <w:r w:rsidRPr="00ED1409">
        <w:rPr>
          <w:rFonts w:ascii="Times New Roman" w:hAnsi="Times New Roman" w:cs="Times New Roman"/>
          <w:sz w:val="22"/>
          <w:szCs w:val="22"/>
        </w:rPr>
        <w:t xml:space="preserve"> the portfolio average — suggesting this particular mismatch is not, on its own, a reliable churn signal, and that engagement status remains the more decisive variable.</w:t>
      </w:r>
    </w:p>
    <w:p w14:paraId="7A2D3AF3"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More broadly, churned customers carried a </w:t>
      </w:r>
      <w:r w:rsidRPr="00ED1409">
        <w:rPr>
          <w:rFonts w:ascii="Times New Roman" w:hAnsi="Times New Roman" w:cs="Times New Roman"/>
          <w:b/>
          <w:bCs/>
          <w:sz w:val="22"/>
          <w:szCs w:val="22"/>
        </w:rPr>
        <w:t>higher average balance (€91,109) than retained customers (€72,745)</w:t>
      </w:r>
      <w:r w:rsidRPr="00ED1409">
        <w:rPr>
          <w:rFonts w:ascii="Times New Roman" w:hAnsi="Times New Roman" w:cs="Times New Roman"/>
          <w:sz w:val="22"/>
          <w:szCs w:val="22"/>
        </w:rPr>
        <w:t>, and churn among customers with a non-zero balance (24.1%) is nearly double the rate among zero-balance customers (13.8%). Balance size, in isolation, is therefore not a protective factor against churn in this portfolio — if anything, the relationship runs the opposite direction.</w:t>
      </w:r>
    </w:p>
    <w:p w14:paraId="343B78BC"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689392E5" w14:textId="77777777" w:rsidR="00C83590" w:rsidRPr="00ED1409" w:rsidRDefault="009F5187">
      <w:pPr>
        <w:pStyle w:val="Heading2"/>
        <w:spacing w:before="320" w:after="160"/>
        <w:rPr>
          <w:rFonts w:ascii="Times New Roman" w:hAnsi="Times New Roman" w:cs="Times New Roman"/>
        </w:rPr>
      </w:pPr>
      <w:bookmarkStart w:id="20" w:name="_Toc235001496"/>
      <w:proofErr w:type="gramStart"/>
      <w:r w:rsidRPr="00ED1409">
        <w:rPr>
          <w:rFonts w:ascii="Times New Roman" w:hAnsi="Times New Roman" w:cs="Times New Roman"/>
          <w:b/>
          <w:bCs/>
          <w:color w:val="1E8A8A"/>
        </w:rPr>
        <w:lastRenderedPageBreak/>
        <w:t>6.5  Retention</w:t>
      </w:r>
      <w:proofErr w:type="gramEnd"/>
      <w:r w:rsidRPr="00ED1409">
        <w:rPr>
          <w:rFonts w:ascii="Times New Roman" w:hAnsi="Times New Roman" w:cs="Times New Roman"/>
          <w:b/>
          <w:bCs/>
          <w:color w:val="1E8A8A"/>
        </w:rPr>
        <w:t xml:space="preserve"> Strength Assessment — The Relationship Strength Index</w:t>
      </w:r>
      <w:bookmarkEnd w:id="20"/>
    </w:p>
    <w:p w14:paraId="007749CA"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To test whether relationship depth as a whole — rather than any single factor — best predicts retention, a composite Relationship Strength Index (RSI) was built on a 0–6 scale, awarding points for active membership, an optimal (two-product) holding, single-product holding, credit card ownership, and tenure of five years or more (full scoring rule in Appendix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C83590" w:rsidRPr="00ED1409" w14:paraId="0AC08787"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7B5681C0"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RSI Score</w:t>
            </w:r>
          </w:p>
        </w:tc>
        <w:tc>
          <w:tcPr>
            <w:tcW w:w="2913" w:type="dxa"/>
            <w:shd w:val="clear" w:color="auto" w:fill="1B2A4A"/>
            <w:tcMar>
              <w:top w:w="100" w:type="dxa"/>
              <w:left w:w="120" w:type="dxa"/>
              <w:bottom w:w="100" w:type="dxa"/>
              <w:right w:w="120" w:type="dxa"/>
            </w:tcMar>
            <w:vAlign w:val="center"/>
          </w:tcPr>
          <w:p w14:paraId="40BCABDF"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Customers</w:t>
            </w:r>
          </w:p>
        </w:tc>
        <w:tc>
          <w:tcPr>
            <w:tcW w:w="2913" w:type="dxa"/>
            <w:shd w:val="clear" w:color="auto" w:fill="1B2A4A"/>
            <w:tcMar>
              <w:top w:w="100" w:type="dxa"/>
              <w:left w:w="120" w:type="dxa"/>
              <w:bottom w:w="100" w:type="dxa"/>
              <w:right w:w="120" w:type="dxa"/>
            </w:tcMar>
            <w:vAlign w:val="center"/>
          </w:tcPr>
          <w:p w14:paraId="211A5877"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 Rate</w:t>
            </w:r>
          </w:p>
        </w:tc>
      </w:tr>
      <w:tr w:rsidR="00C83590" w:rsidRPr="00ED1409" w14:paraId="1F92C40C"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71C05A9" w14:textId="77777777" w:rsidR="00C83590" w:rsidRPr="00ED1409" w:rsidRDefault="009F5187">
            <w:pPr>
              <w:rPr>
                <w:rFonts w:ascii="Times New Roman" w:hAnsi="Times New Roman" w:cs="Times New Roman"/>
              </w:rPr>
            </w:pPr>
            <w:proofErr w:type="gramStart"/>
            <w:r w:rsidRPr="00ED1409">
              <w:rPr>
                <w:rFonts w:ascii="Times New Roman" w:hAnsi="Times New Roman" w:cs="Times New Roman"/>
                <w:color w:val="222222"/>
                <w:sz w:val="19"/>
                <w:szCs w:val="19"/>
              </w:rPr>
              <w:t>0  (</w:t>
            </w:r>
            <w:proofErr w:type="gramEnd"/>
            <w:r w:rsidRPr="00ED1409">
              <w:rPr>
                <w:rFonts w:ascii="Times New Roman" w:hAnsi="Times New Roman" w:cs="Times New Roman"/>
                <w:color w:val="222222"/>
                <w:sz w:val="19"/>
                <w:szCs w:val="19"/>
              </w:rPr>
              <w:t>weakest)</w:t>
            </w:r>
          </w:p>
        </w:tc>
        <w:tc>
          <w:tcPr>
            <w:tcW w:w="2913" w:type="dxa"/>
            <w:shd w:val="clear" w:color="auto" w:fill="FFFFFF"/>
            <w:tcMar>
              <w:top w:w="100" w:type="dxa"/>
              <w:left w:w="120" w:type="dxa"/>
              <w:bottom w:w="100" w:type="dxa"/>
              <w:right w:w="120" w:type="dxa"/>
            </w:tcMar>
            <w:vAlign w:val="center"/>
          </w:tcPr>
          <w:p w14:paraId="2911E00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w:t>
            </w:r>
          </w:p>
        </w:tc>
        <w:tc>
          <w:tcPr>
            <w:tcW w:w="2913" w:type="dxa"/>
            <w:shd w:val="clear" w:color="auto" w:fill="FFFFFF"/>
            <w:tcMar>
              <w:top w:w="100" w:type="dxa"/>
              <w:left w:w="120" w:type="dxa"/>
              <w:bottom w:w="100" w:type="dxa"/>
              <w:right w:w="120" w:type="dxa"/>
            </w:tcMar>
            <w:vAlign w:val="center"/>
          </w:tcPr>
          <w:p w14:paraId="2DCCA99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96.0%</w:t>
            </w:r>
          </w:p>
        </w:tc>
      </w:tr>
      <w:tr w:rsidR="00C83590" w:rsidRPr="00ED1409" w14:paraId="70A71DEE"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5C77D10E"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w:t>
            </w:r>
          </w:p>
        </w:tc>
        <w:tc>
          <w:tcPr>
            <w:tcW w:w="2913" w:type="dxa"/>
            <w:shd w:val="clear" w:color="auto" w:fill="F2F3F5"/>
            <w:tcMar>
              <w:top w:w="100" w:type="dxa"/>
              <w:left w:w="120" w:type="dxa"/>
              <w:bottom w:w="100" w:type="dxa"/>
              <w:right w:w="120" w:type="dxa"/>
            </w:tcMar>
            <w:vAlign w:val="center"/>
          </w:tcPr>
          <w:p w14:paraId="7B9BF7F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413</w:t>
            </w:r>
          </w:p>
        </w:tc>
        <w:tc>
          <w:tcPr>
            <w:tcW w:w="2913" w:type="dxa"/>
            <w:shd w:val="clear" w:color="auto" w:fill="F2F3F5"/>
            <w:tcMar>
              <w:top w:w="100" w:type="dxa"/>
              <w:left w:w="120" w:type="dxa"/>
              <w:bottom w:w="100" w:type="dxa"/>
              <w:right w:w="120" w:type="dxa"/>
            </w:tcMar>
            <w:vAlign w:val="center"/>
          </w:tcPr>
          <w:p w14:paraId="29850F4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44.8%</w:t>
            </w:r>
          </w:p>
        </w:tc>
      </w:tr>
      <w:tr w:rsidR="00C83590" w:rsidRPr="00ED1409" w14:paraId="4E50131F"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634343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w:t>
            </w:r>
          </w:p>
        </w:tc>
        <w:tc>
          <w:tcPr>
            <w:tcW w:w="2913" w:type="dxa"/>
            <w:shd w:val="clear" w:color="auto" w:fill="FFFFFF"/>
            <w:tcMar>
              <w:top w:w="100" w:type="dxa"/>
              <w:left w:w="120" w:type="dxa"/>
              <w:bottom w:w="100" w:type="dxa"/>
              <w:right w:w="120" w:type="dxa"/>
            </w:tcMar>
            <w:vAlign w:val="center"/>
          </w:tcPr>
          <w:p w14:paraId="2BC2F1AD"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1,537</w:t>
            </w:r>
          </w:p>
        </w:tc>
        <w:tc>
          <w:tcPr>
            <w:tcW w:w="2913" w:type="dxa"/>
            <w:shd w:val="clear" w:color="auto" w:fill="FFFFFF"/>
            <w:tcMar>
              <w:top w:w="100" w:type="dxa"/>
              <w:left w:w="120" w:type="dxa"/>
              <w:bottom w:w="100" w:type="dxa"/>
              <w:right w:w="120" w:type="dxa"/>
            </w:tcMar>
            <w:vAlign w:val="center"/>
          </w:tcPr>
          <w:p w14:paraId="70BE445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35.8%</w:t>
            </w:r>
          </w:p>
        </w:tc>
      </w:tr>
      <w:tr w:rsidR="00C83590" w:rsidRPr="00ED1409" w14:paraId="1E0D6B54"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70FA668C"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w:t>
            </w:r>
          </w:p>
        </w:tc>
        <w:tc>
          <w:tcPr>
            <w:tcW w:w="2913" w:type="dxa"/>
            <w:shd w:val="clear" w:color="auto" w:fill="F2F3F5"/>
            <w:tcMar>
              <w:top w:w="100" w:type="dxa"/>
              <w:left w:w="120" w:type="dxa"/>
              <w:bottom w:w="100" w:type="dxa"/>
              <w:right w:w="120" w:type="dxa"/>
            </w:tcMar>
            <w:vAlign w:val="center"/>
          </w:tcPr>
          <w:p w14:paraId="513D045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2,476</w:t>
            </w:r>
          </w:p>
        </w:tc>
        <w:tc>
          <w:tcPr>
            <w:tcW w:w="2913" w:type="dxa"/>
            <w:shd w:val="clear" w:color="auto" w:fill="F2F3F5"/>
            <w:tcMar>
              <w:top w:w="100" w:type="dxa"/>
              <w:left w:w="120" w:type="dxa"/>
              <w:bottom w:w="100" w:type="dxa"/>
              <w:right w:w="120" w:type="dxa"/>
            </w:tcMar>
            <w:vAlign w:val="center"/>
          </w:tcPr>
          <w:p w14:paraId="2CDC64A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25.0%</w:t>
            </w:r>
          </w:p>
        </w:tc>
      </w:tr>
      <w:tr w:rsidR="00C83590" w:rsidRPr="00ED1409" w14:paraId="5D5AA113"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03DB2C2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w:t>
            </w:r>
          </w:p>
        </w:tc>
        <w:tc>
          <w:tcPr>
            <w:tcW w:w="2913" w:type="dxa"/>
            <w:shd w:val="clear" w:color="auto" w:fill="FFFFFF"/>
            <w:tcMar>
              <w:top w:w="100" w:type="dxa"/>
              <w:left w:w="120" w:type="dxa"/>
              <w:bottom w:w="100" w:type="dxa"/>
              <w:right w:w="120" w:type="dxa"/>
            </w:tcMar>
            <w:vAlign w:val="center"/>
          </w:tcPr>
          <w:p w14:paraId="0A39248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2,492</w:t>
            </w:r>
          </w:p>
        </w:tc>
        <w:tc>
          <w:tcPr>
            <w:tcW w:w="2913" w:type="dxa"/>
            <w:shd w:val="clear" w:color="auto" w:fill="FFFFFF"/>
            <w:tcMar>
              <w:top w:w="100" w:type="dxa"/>
              <w:left w:w="120" w:type="dxa"/>
              <w:bottom w:w="100" w:type="dxa"/>
              <w:right w:w="120" w:type="dxa"/>
            </w:tcMar>
            <w:vAlign w:val="center"/>
          </w:tcPr>
          <w:p w14:paraId="4D3AA1B6"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15.7%</w:t>
            </w:r>
          </w:p>
        </w:tc>
      </w:tr>
      <w:tr w:rsidR="00C83590" w:rsidRPr="00ED1409" w14:paraId="4A234B03"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78E24D8F"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w:t>
            </w:r>
          </w:p>
        </w:tc>
        <w:tc>
          <w:tcPr>
            <w:tcW w:w="2913" w:type="dxa"/>
            <w:shd w:val="clear" w:color="auto" w:fill="F2F3F5"/>
            <w:tcMar>
              <w:top w:w="100" w:type="dxa"/>
              <w:left w:w="120" w:type="dxa"/>
              <w:bottom w:w="100" w:type="dxa"/>
              <w:right w:w="120" w:type="dxa"/>
            </w:tcMar>
            <w:vAlign w:val="center"/>
          </w:tcPr>
          <w:p w14:paraId="1CC66A3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2,098</w:t>
            </w:r>
          </w:p>
        </w:tc>
        <w:tc>
          <w:tcPr>
            <w:tcW w:w="2913" w:type="dxa"/>
            <w:shd w:val="clear" w:color="auto" w:fill="F2F3F5"/>
            <w:tcMar>
              <w:top w:w="100" w:type="dxa"/>
              <w:left w:w="120" w:type="dxa"/>
              <w:bottom w:w="100" w:type="dxa"/>
              <w:right w:w="120" w:type="dxa"/>
            </w:tcMar>
            <w:vAlign w:val="center"/>
          </w:tcPr>
          <w:p w14:paraId="02E5EF8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10.4%</w:t>
            </w:r>
          </w:p>
        </w:tc>
      </w:tr>
      <w:tr w:rsidR="00C83590" w:rsidRPr="00ED1409" w14:paraId="4F098DD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47018FAD" w14:textId="77777777" w:rsidR="00C83590" w:rsidRPr="00ED1409" w:rsidRDefault="009F5187">
            <w:pPr>
              <w:rPr>
                <w:rFonts w:ascii="Times New Roman" w:hAnsi="Times New Roman" w:cs="Times New Roman"/>
              </w:rPr>
            </w:pPr>
            <w:proofErr w:type="gramStart"/>
            <w:r w:rsidRPr="00ED1409">
              <w:rPr>
                <w:rFonts w:ascii="Times New Roman" w:hAnsi="Times New Roman" w:cs="Times New Roman"/>
                <w:color w:val="222222"/>
                <w:sz w:val="19"/>
                <w:szCs w:val="19"/>
              </w:rPr>
              <w:t>6  (</w:t>
            </w:r>
            <w:proofErr w:type="gramEnd"/>
            <w:r w:rsidRPr="00ED1409">
              <w:rPr>
                <w:rFonts w:ascii="Times New Roman" w:hAnsi="Times New Roman" w:cs="Times New Roman"/>
                <w:color w:val="222222"/>
                <w:sz w:val="19"/>
                <w:szCs w:val="19"/>
              </w:rPr>
              <w:t>strongest)</w:t>
            </w:r>
          </w:p>
        </w:tc>
        <w:tc>
          <w:tcPr>
            <w:tcW w:w="2913" w:type="dxa"/>
            <w:shd w:val="clear" w:color="auto" w:fill="FFFFFF"/>
            <w:tcMar>
              <w:top w:w="100" w:type="dxa"/>
              <w:left w:w="120" w:type="dxa"/>
              <w:bottom w:w="100" w:type="dxa"/>
              <w:right w:w="120" w:type="dxa"/>
            </w:tcMar>
            <w:vAlign w:val="center"/>
          </w:tcPr>
          <w:p w14:paraId="21F1CBAC"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959</w:t>
            </w:r>
          </w:p>
        </w:tc>
        <w:tc>
          <w:tcPr>
            <w:tcW w:w="2913" w:type="dxa"/>
            <w:shd w:val="clear" w:color="auto" w:fill="FFFFFF"/>
            <w:tcMar>
              <w:top w:w="100" w:type="dxa"/>
              <w:left w:w="120" w:type="dxa"/>
              <w:bottom w:w="100" w:type="dxa"/>
              <w:right w:w="120" w:type="dxa"/>
            </w:tcMar>
            <w:vAlign w:val="center"/>
          </w:tcPr>
          <w:p w14:paraId="541F479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5.0%</w:t>
            </w:r>
          </w:p>
        </w:tc>
      </w:tr>
    </w:tbl>
    <w:p w14:paraId="3C928CB4" w14:textId="77777777" w:rsidR="00C83590" w:rsidRPr="00ED1409" w:rsidRDefault="00C83590">
      <w:pPr>
        <w:spacing w:after="200"/>
        <w:rPr>
          <w:rFonts w:ascii="Times New Roman" w:hAnsi="Times New Roman" w:cs="Times New Roman"/>
        </w:rPr>
      </w:pPr>
    </w:p>
    <w:p w14:paraId="5D2C9FF1"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0C502547" wp14:editId="79B2BE26">
            <wp:extent cx="4762500" cy="2981325"/>
            <wp:effectExtent l="0" t="0" r="0" b="0"/>
            <wp:docPr id="1008931138" name="Picture 100893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14:paraId="1400D67E"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5. Relationship Strength Index vs. churn rate — a near-monotonic gradient.</w:t>
      </w:r>
    </w:p>
    <w:p w14:paraId="7F314F80"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The RSI produces the cleanest gradient in the entire study: churn falls in an almost perfectly monotonic staircase from </w:t>
      </w:r>
      <w:r w:rsidRPr="00ED1409">
        <w:rPr>
          <w:rFonts w:ascii="Times New Roman" w:hAnsi="Times New Roman" w:cs="Times New Roman"/>
          <w:b/>
          <w:bCs/>
          <w:sz w:val="22"/>
          <w:szCs w:val="22"/>
        </w:rPr>
        <w:t>96.0% at the weakest score (0)</w:t>
      </w:r>
      <w:r w:rsidRPr="00ED1409">
        <w:rPr>
          <w:rFonts w:ascii="Times New Roman" w:hAnsi="Times New Roman" w:cs="Times New Roman"/>
          <w:sz w:val="22"/>
          <w:szCs w:val="22"/>
        </w:rPr>
        <w:t xml:space="preserve"> to </w:t>
      </w:r>
      <w:r w:rsidRPr="00ED1409">
        <w:rPr>
          <w:rFonts w:ascii="Times New Roman" w:hAnsi="Times New Roman" w:cs="Times New Roman"/>
          <w:b/>
          <w:bCs/>
          <w:sz w:val="22"/>
          <w:szCs w:val="22"/>
        </w:rPr>
        <w:t>5.0% at the strongest score (6)</w:t>
      </w:r>
      <w:r w:rsidRPr="00ED1409">
        <w:rPr>
          <w:rFonts w:ascii="Times New Roman" w:hAnsi="Times New Roman" w:cs="Times New Roman"/>
          <w:sz w:val="22"/>
          <w:szCs w:val="22"/>
        </w:rPr>
        <w:t xml:space="preserve">. This confirms the project's central premise: retention is best explained by </w:t>
      </w:r>
      <w:r w:rsidRPr="00ED1409">
        <w:rPr>
          <w:rFonts w:ascii="Times New Roman" w:hAnsi="Times New Roman" w:cs="Times New Roman"/>
          <w:b/>
          <w:bCs/>
          <w:sz w:val="22"/>
          <w:szCs w:val="22"/>
        </w:rPr>
        <w:t>combined relationship depth</w:t>
      </w:r>
      <w:r w:rsidRPr="00ED1409">
        <w:rPr>
          <w:rFonts w:ascii="Times New Roman" w:hAnsi="Times New Roman" w:cs="Times New Roman"/>
          <w:sz w:val="22"/>
          <w:szCs w:val="22"/>
        </w:rPr>
        <w:t xml:space="preserve">, not any single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or financial attribute in isolation. The RSI provides the Bank with a practical, immediately deployable scoring rule for prioritizing retention outreach.</w:t>
      </w:r>
    </w:p>
    <w:p w14:paraId="21C3D664"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71047B97" w14:textId="77777777" w:rsidR="00C83590" w:rsidRPr="00ED1409" w:rsidRDefault="009F5187">
      <w:pPr>
        <w:pStyle w:val="Heading2"/>
        <w:spacing w:before="320" w:after="160"/>
        <w:rPr>
          <w:rFonts w:ascii="Times New Roman" w:hAnsi="Times New Roman" w:cs="Times New Roman"/>
        </w:rPr>
      </w:pPr>
      <w:bookmarkStart w:id="21" w:name="_Toc235001497"/>
      <w:proofErr w:type="gramStart"/>
      <w:r w:rsidRPr="00ED1409">
        <w:rPr>
          <w:rFonts w:ascii="Times New Roman" w:hAnsi="Times New Roman" w:cs="Times New Roman"/>
          <w:b/>
          <w:bCs/>
          <w:color w:val="1E8A8A"/>
        </w:rPr>
        <w:lastRenderedPageBreak/>
        <w:t>6.6  Supporting</w:t>
      </w:r>
      <w:proofErr w:type="gramEnd"/>
      <w:r w:rsidRPr="00ED1409">
        <w:rPr>
          <w:rFonts w:ascii="Times New Roman" w:hAnsi="Times New Roman" w:cs="Times New Roman"/>
          <w:b/>
          <w:bCs/>
          <w:color w:val="1E8A8A"/>
        </w:rPr>
        <w:t xml:space="preserve"> Demographic &amp; Geographic Patterns</w:t>
      </w:r>
      <w:bookmarkEnd w:id="21"/>
    </w:p>
    <w:p w14:paraId="540631B6"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While the project's core focus is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three demographic patterns are strong enough to merit inclusion as context for market-level retention planning:</w:t>
      </w:r>
    </w:p>
    <w:p w14:paraId="0CADF5A7" w14:textId="77777777" w:rsidR="00C83590" w:rsidRPr="00ED1409" w:rsidRDefault="009F5187">
      <w:pPr>
        <w:pStyle w:val="Heading3"/>
        <w:spacing w:before="220" w:after="120"/>
        <w:rPr>
          <w:rFonts w:ascii="Times New Roman" w:hAnsi="Times New Roman" w:cs="Times New Roman"/>
        </w:rPr>
      </w:pPr>
      <w:r w:rsidRPr="00ED1409">
        <w:rPr>
          <w:rFonts w:ascii="Times New Roman" w:hAnsi="Times New Roman" w:cs="Times New Roman"/>
          <w:b/>
          <w:bCs/>
          <w:color w:val="1B2A4A"/>
          <w:sz w:val="22"/>
          <w:szCs w:val="22"/>
        </w:rPr>
        <w:t>Geography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C83590" w:rsidRPr="00ED1409" w14:paraId="06AAEC86"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08B5B5AD"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Geography</w:t>
            </w:r>
          </w:p>
        </w:tc>
        <w:tc>
          <w:tcPr>
            <w:tcW w:w="2913" w:type="dxa"/>
            <w:shd w:val="clear" w:color="auto" w:fill="1B2A4A"/>
            <w:tcMar>
              <w:top w:w="100" w:type="dxa"/>
              <w:left w:w="120" w:type="dxa"/>
              <w:bottom w:w="100" w:type="dxa"/>
              <w:right w:w="120" w:type="dxa"/>
            </w:tcMar>
            <w:vAlign w:val="center"/>
          </w:tcPr>
          <w:p w14:paraId="3E07758E"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Customers</w:t>
            </w:r>
          </w:p>
        </w:tc>
        <w:tc>
          <w:tcPr>
            <w:tcW w:w="2913" w:type="dxa"/>
            <w:shd w:val="clear" w:color="auto" w:fill="1B2A4A"/>
            <w:tcMar>
              <w:top w:w="100" w:type="dxa"/>
              <w:left w:w="120" w:type="dxa"/>
              <w:bottom w:w="100" w:type="dxa"/>
              <w:right w:w="120" w:type="dxa"/>
            </w:tcMar>
            <w:vAlign w:val="center"/>
          </w:tcPr>
          <w:p w14:paraId="3F359BE8"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 Rate</w:t>
            </w:r>
          </w:p>
        </w:tc>
      </w:tr>
      <w:tr w:rsidR="00C83590" w:rsidRPr="00ED1409" w14:paraId="3DA0A30E"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664090F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France</w:t>
            </w:r>
          </w:p>
        </w:tc>
        <w:tc>
          <w:tcPr>
            <w:tcW w:w="2913" w:type="dxa"/>
            <w:shd w:val="clear" w:color="auto" w:fill="FFFFFF"/>
            <w:tcMar>
              <w:top w:w="100" w:type="dxa"/>
              <w:left w:w="120" w:type="dxa"/>
              <w:bottom w:w="100" w:type="dxa"/>
              <w:right w:w="120" w:type="dxa"/>
            </w:tcMar>
            <w:vAlign w:val="center"/>
          </w:tcPr>
          <w:p w14:paraId="56064E16"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5,014</w:t>
            </w:r>
          </w:p>
        </w:tc>
        <w:tc>
          <w:tcPr>
            <w:tcW w:w="2913" w:type="dxa"/>
            <w:shd w:val="clear" w:color="auto" w:fill="FFFFFF"/>
            <w:tcMar>
              <w:top w:w="100" w:type="dxa"/>
              <w:left w:w="120" w:type="dxa"/>
              <w:bottom w:w="100" w:type="dxa"/>
              <w:right w:w="120" w:type="dxa"/>
            </w:tcMar>
            <w:vAlign w:val="center"/>
          </w:tcPr>
          <w:p w14:paraId="4AEE939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16.2%</w:t>
            </w:r>
          </w:p>
        </w:tc>
      </w:tr>
      <w:tr w:rsidR="00C83590" w:rsidRPr="00ED1409" w14:paraId="457BDE8A"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569C277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Spain</w:t>
            </w:r>
          </w:p>
        </w:tc>
        <w:tc>
          <w:tcPr>
            <w:tcW w:w="2913" w:type="dxa"/>
            <w:shd w:val="clear" w:color="auto" w:fill="F2F3F5"/>
            <w:tcMar>
              <w:top w:w="100" w:type="dxa"/>
              <w:left w:w="120" w:type="dxa"/>
              <w:bottom w:w="100" w:type="dxa"/>
              <w:right w:w="120" w:type="dxa"/>
            </w:tcMar>
            <w:vAlign w:val="center"/>
          </w:tcPr>
          <w:p w14:paraId="3FA25F0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2,477</w:t>
            </w:r>
          </w:p>
        </w:tc>
        <w:tc>
          <w:tcPr>
            <w:tcW w:w="2913" w:type="dxa"/>
            <w:shd w:val="clear" w:color="auto" w:fill="F2F3F5"/>
            <w:tcMar>
              <w:top w:w="100" w:type="dxa"/>
              <w:left w:w="120" w:type="dxa"/>
              <w:bottom w:w="100" w:type="dxa"/>
              <w:right w:w="120" w:type="dxa"/>
            </w:tcMar>
            <w:vAlign w:val="center"/>
          </w:tcPr>
          <w:p w14:paraId="5324CA9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16.7%</w:t>
            </w:r>
          </w:p>
        </w:tc>
      </w:tr>
      <w:tr w:rsidR="00C83590" w:rsidRPr="00ED1409" w14:paraId="642A7662"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3C15210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Germany</w:t>
            </w:r>
          </w:p>
        </w:tc>
        <w:tc>
          <w:tcPr>
            <w:tcW w:w="2913" w:type="dxa"/>
            <w:shd w:val="clear" w:color="auto" w:fill="FFFFFF"/>
            <w:tcMar>
              <w:top w:w="100" w:type="dxa"/>
              <w:left w:w="120" w:type="dxa"/>
              <w:bottom w:w="100" w:type="dxa"/>
              <w:right w:w="120" w:type="dxa"/>
            </w:tcMar>
            <w:vAlign w:val="center"/>
          </w:tcPr>
          <w:p w14:paraId="11A03181"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2,509</w:t>
            </w:r>
          </w:p>
        </w:tc>
        <w:tc>
          <w:tcPr>
            <w:tcW w:w="2913" w:type="dxa"/>
            <w:shd w:val="clear" w:color="auto" w:fill="FFFFFF"/>
            <w:tcMar>
              <w:top w:w="100" w:type="dxa"/>
              <w:left w:w="120" w:type="dxa"/>
              <w:bottom w:w="100" w:type="dxa"/>
              <w:right w:w="120" w:type="dxa"/>
            </w:tcMar>
            <w:vAlign w:val="center"/>
          </w:tcPr>
          <w:p w14:paraId="4997EB4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32.4%</w:t>
            </w:r>
          </w:p>
        </w:tc>
      </w:tr>
    </w:tbl>
    <w:p w14:paraId="4C0C7B25" w14:textId="77777777" w:rsidR="00C83590" w:rsidRPr="00ED1409" w:rsidRDefault="00C83590">
      <w:pPr>
        <w:spacing w:after="160"/>
        <w:rPr>
          <w:rFonts w:ascii="Times New Roman" w:hAnsi="Times New Roman" w:cs="Times New Roman"/>
        </w:rPr>
      </w:pPr>
    </w:p>
    <w:p w14:paraId="15DD29B6"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Germany churns at </w:t>
      </w:r>
      <w:r w:rsidRPr="00ED1409">
        <w:rPr>
          <w:rFonts w:ascii="Times New Roman" w:hAnsi="Times New Roman" w:cs="Times New Roman"/>
          <w:b/>
          <w:bCs/>
          <w:sz w:val="22"/>
          <w:szCs w:val="22"/>
        </w:rPr>
        <w:t>32.4%</w:t>
      </w:r>
      <w:r w:rsidRPr="00ED1409">
        <w:rPr>
          <w:rFonts w:ascii="Times New Roman" w:hAnsi="Times New Roman" w:cs="Times New Roman"/>
          <w:sz w:val="22"/>
          <w:szCs w:val="22"/>
        </w:rPr>
        <w:t xml:space="preserve"> — roughly double France (16.2%) and Spain (16.7%) — despite similar product and engagement mechanics. The product paradox is also sharpest in Germany: German customers holding three or more products churn at </w:t>
      </w:r>
      <w:r w:rsidRPr="00ED1409">
        <w:rPr>
          <w:rFonts w:ascii="Times New Roman" w:hAnsi="Times New Roman" w:cs="Times New Roman"/>
          <w:b/>
          <w:bCs/>
          <w:sz w:val="22"/>
          <w:szCs w:val="22"/>
        </w:rPr>
        <w:t>91.7%</w:t>
      </w:r>
      <w:r w:rsidRPr="00ED1409">
        <w:rPr>
          <w:rFonts w:ascii="Times New Roman" w:hAnsi="Times New Roman" w:cs="Times New Roman"/>
          <w:sz w:val="22"/>
          <w:szCs w:val="22"/>
        </w:rPr>
        <w:t xml:space="preserve"> (n=120), compared with France's already-elevated 78.8–100% range for the same tier. This suggests Germany-specific service, pricing, or competitive pressures compounding the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risk factors identified above, and warrants a market-specific retention review.</w:t>
      </w:r>
    </w:p>
    <w:p w14:paraId="6095FAD7" w14:textId="77777777" w:rsidR="00C83590" w:rsidRPr="00ED1409" w:rsidRDefault="009F5187">
      <w:pPr>
        <w:pStyle w:val="Heading3"/>
        <w:spacing w:before="220" w:after="120"/>
        <w:rPr>
          <w:rFonts w:ascii="Times New Roman" w:hAnsi="Times New Roman" w:cs="Times New Roman"/>
        </w:rPr>
      </w:pPr>
      <w:r w:rsidRPr="00ED1409">
        <w:rPr>
          <w:rFonts w:ascii="Times New Roman" w:hAnsi="Times New Roman" w:cs="Times New Roman"/>
          <w:b/>
          <w:bCs/>
          <w:color w:val="1B2A4A"/>
          <w:sz w:val="22"/>
          <w:szCs w:val="22"/>
        </w:rPr>
        <w:t>Gender</w:t>
      </w:r>
    </w:p>
    <w:p w14:paraId="74C4EE22"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5935C232" wp14:editId="7E67E4E2">
            <wp:extent cx="4762500" cy="2981325"/>
            <wp:effectExtent l="0" t="0" r="0" b="0"/>
            <wp:docPr id="476613629" name="Picture 47661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81325"/>
                    </a:xfrm>
                    <a:prstGeom prst="rect">
                      <a:avLst/>
                    </a:prstGeom>
                  </pic:spPr>
                </pic:pic>
              </a:graphicData>
            </a:graphic>
          </wp:inline>
        </w:drawing>
      </w:r>
    </w:p>
    <w:p w14:paraId="41F07AFF"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6. Churn rate by geography and gender.</w:t>
      </w:r>
    </w:p>
    <w:p w14:paraId="41AB7129"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Female customers churn more than male customers in every market studied (25.1% vs. 16.5% overall), with the gap widest in Germany (37.6% for women vs. 27.8% for men). This pattern is consistent enough across all three countries to warrant further qualitative research into service experience by gender, though it falls outside this paper's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scope to explain.</w:t>
      </w:r>
    </w:p>
    <w:p w14:paraId="51D63C29" w14:textId="77777777" w:rsidR="00ED1409" w:rsidRDefault="00ED1409">
      <w:pPr>
        <w:pStyle w:val="Heading3"/>
        <w:spacing w:before="220" w:after="120"/>
        <w:rPr>
          <w:rFonts w:ascii="Times New Roman" w:hAnsi="Times New Roman" w:cs="Times New Roman"/>
          <w:b/>
          <w:bCs/>
          <w:color w:val="1B2A4A"/>
          <w:sz w:val="22"/>
          <w:szCs w:val="22"/>
        </w:rPr>
      </w:pPr>
    </w:p>
    <w:p w14:paraId="744F886E" w14:textId="77777777" w:rsidR="00ED1409" w:rsidRDefault="00ED1409">
      <w:pPr>
        <w:pStyle w:val="Heading3"/>
        <w:spacing w:before="220" w:after="120"/>
        <w:rPr>
          <w:rFonts w:ascii="Times New Roman" w:hAnsi="Times New Roman" w:cs="Times New Roman"/>
          <w:b/>
          <w:bCs/>
          <w:color w:val="1B2A4A"/>
          <w:sz w:val="22"/>
          <w:szCs w:val="22"/>
        </w:rPr>
      </w:pPr>
    </w:p>
    <w:p w14:paraId="69211AA4" w14:textId="22CED85F" w:rsidR="00C83590" w:rsidRPr="00ED1409" w:rsidRDefault="009F5187">
      <w:pPr>
        <w:pStyle w:val="Heading3"/>
        <w:spacing w:before="220" w:after="120"/>
        <w:rPr>
          <w:rFonts w:ascii="Times New Roman" w:hAnsi="Times New Roman" w:cs="Times New Roman"/>
        </w:rPr>
      </w:pPr>
      <w:r w:rsidRPr="00ED1409">
        <w:rPr>
          <w:rFonts w:ascii="Times New Roman" w:hAnsi="Times New Roman" w:cs="Times New Roman"/>
          <w:b/>
          <w:bCs/>
          <w:color w:val="1B2A4A"/>
          <w:sz w:val="22"/>
          <w:szCs w:val="22"/>
        </w:rPr>
        <w:lastRenderedPageBreak/>
        <w:t>Age</w:t>
      </w:r>
    </w:p>
    <w:p w14:paraId="3608033C" w14:textId="77777777" w:rsidR="00C83590" w:rsidRPr="00ED1409" w:rsidRDefault="009F5187">
      <w:pPr>
        <w:spacing w:before="160" w:after="40"/>
        <w:jc w:val="center"/>
        <w:rPr>
          <w:rFonts w:ascii="Times New Roman" w:hAnsi="Times New Roman" w:cs="Times New Roman"/>
        </w:rPr>
      </w:pPr>
      <w:r w:rsidRPr="00ED1409">
        <w:rPr>
          <w:rFonts w:ascii="Times New Roman" w:hAnsi="Times New Roman" w:cs="Times New Roman"/>
          <w:noProof/>
        </w:rPr>
        <w:drawing>
          <wp:inline distT="0" distB="0" distL="0" distR="0" wp14:anchorId="72C4A171" wp14:editId="7C726941">
            <wp:extent cx="4762500" cy="2981325"/>
            <wp:effectExtent l="0" t="0" r="0" b="0"/>
            <wp:docPr id="474824483" name="Picture 47482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81325"/>
                    </a:xfrm>
                    <a:prstGeom prst="rect">
                      <a:avLst/>
                    </a:prstGeom>
                  </pic:spPr>
                </pic:pic>
              </a:graphicData>
            </a:graphic>
          </wp:inline>
        </w:drawing>
      </w:r>
    </w:p>
    <w:p w14:paraId="6C70DFB9" w14:textId="77777777" w:rsidR="00C83590" w:rsidRPr="00ED1409" w:rsidRDefault="009F5187">
      <w:pPr>
        <w:spacing w:before="80" w:after="280"/>
        <w:jc w:val="center"/>
        <w:rPr>
          <w:rFonts w:ascii="Times New Roman" w:hAnsi="Times New Roman" w:cs="Times New Roman"/>
        </w:rPr>
      </w:pPr>
      <w:r w:rsidRPr="00ED1409">
        <w:rPr>
          <w:rFonts w:ascii="Times New Roman" w:hAnsi="Times New Roman" w:cs="Times New Roman"/>
          <w:i/>
          <w:iCs/>
          <w:color w:val="6B7280"/>
          <w:sz w:val="18"/>
          <w:szCs w:val="18"/>
        </w:rPr>
        <w:t>Figure 7. Churn rate by age band.</w:t>
      </w:r>
    </w:p>
    <w:p w14:paraId="4143AE9F"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Churn rises sharply with age through mid-career, peaking at </w:t>
      </w:r>
      <w:r w:rsidRPr="00ED1409">
        <w:rPr>
          <w:rFonts w:ascii="Times New Roman" w:hAnsi="Times New Roman" w:cs="Times New Roman"/>
          <w:b/>
          <w:bCs/>
          <w:sz w:val="22"/>
          <w:szCs w:val="22"/>
        </w:rPr>
        <w:t>56.0% in the 50–59 age band</w:t>
      </w:r>
      <w:r w:rsidRPr="00ED1409">
        <w:rPr>
          <w:rFonts w:ascii="Times New Roman" w:hAnsi="Times New Roman" w:cs="Times New Roman"/>
          <w:sz w:val="22"/>
          <w:szCs w:val="22"/>
        </w:rPr>
        <w:t xml:space="preserve"> — nearly triple the youngest cohort's 7.6% — before falling back to 27.9% for customers aged 60 and over. This hump-shaped pattern (rather than a simple linear age effect) suggests the 45–59 age band, likely nearing major financial transitions such as retirement planning, is the single highest-priority age segment for retention attention.</w:t>
      </w:r>
    </w:p>
    <w:p w14:paraId="5C8EF1B0"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72DAC44D"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22" w:name="_Toc235001498"/>
      <w:r w:rsidRPr="00ED1409">
        <w:rPr>
          <w:rFonts w:ascii="Times New Roman" w:hAnsi="Times New Roman" w:cs="Times New Roman"/>
          <w:b/>
          <w:bCs/>
          <w:color w:val="1B2A4A"/>
        </w:rPr>
        <w:lastRenderedPageBreak/>
        <w:t>7. Key Performance Indicators</w:t>
      </w:r>
      <w:bookmarkEnd w:id="22"/>
    </w:p>
    <w:p w14:paraId="4DA9B63B"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Five KPIs were defined to translate the </w:t>
      </w:r>
      <w:proofErr w:type="spellStart"/>
      <w:r w:rsidRPr="00ED1409">
        <w:rPr>
          <w:rFonts w:ascii="Times New Roman" w:hAnsi="Times New Roman" w:cs="Times New Roman"/>
          <w:sz w:val="22"/>
          <w:szCs w:val="22"/>
        </w:rPr>
        <w:t>behavioral</w:t>
      </w:r>
      <w:proofErr w:type="spellEnd"/>
      <w:r w:rsidRPr="00ED1409">
        <w:rPr>
          <w:rFonts w:ascii="Times New Roman" w:hAnsi="Times New Roman" w:cs="Times New Roman"/>
          <w:sz w:val="22"/>
          <w:szCs w:val="22"/>
        </w:rPr>
        <w:t xml:space="preserve"> findings above into a monitoring framework the Bank can track on an ongoing basis.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26"/>
        <w:gridCol w:w="2500"/>
      </w:tblGrid>
      <w:tr w:rsidR="00C83590" w:rsidRPr="00ED1409" w14:paraId="2C3FE688" w14:textId="77777777">
        <w:tblPrEx>
          <w:tblCellMar>
            <w:top w:w="0" w:type="dxa"/>
            <w:bottom w:w="0" w:type="dxa"/>
          </w:tblCellMar>
        </w:tblPrEx>
        <w:trPr>
          <w:tblHeader/>
        </w:trPr>
        <w:tc>
          <w:tcPr>
            <w:tcW w:w="2400" w:type="dxa"/>
            <w:shd w:val="clear" w:color="auto" w:fill="1B2A4A"/>
            <w:tcMar>
              <w:top w:w="100" w:type="dxa"/>
              <w:left w:w="120" w:type="dxa"/>
              <w:bottom w:w="100" w:type="dxa"/>
              <w:right w:w="120" w:type="dxa"/>
            </w:tcMar>
            <w:vAlign w:val="center"/>
          </w:tcPr>
          <w:p w14:paraId="02C0E3CF"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KPI</w:t>
            </w:r>
          </w:p>
        </w:tc>
        <w:tc>
          <w:tcPr>
            <w:tcW w:w="4126" w:type="dxa"/>
            <w:shd w:val="clear" w:color="auto" w:fill="1B2A4A"/>
            <w:tcMar>
              <w:top w:w="100" w:type="dxa"/>
              <w:left w:w="120" w:type="dxa"/>
              <w:bottom w:w="100" w:type="dxa"/>
              <w:right w:w="120" w:type="dxa"/>
            </w:tcMar>
            <w:vAlign w:val="center"/>
          </w:tcPr>
          <w:p w14:paraId="3CF01EAB"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Definition</w:t>
            </w:r>
          </w:p>
        </w:tc>
        <w:tc>
          <w:tcPr>
            <w:tcW w:w="2500" w:type="dxa"/>
            <w:shd w:val="clear" w:color="auto" w:fill="1B2A4A"/>
            <w:tcMar>
              <w:top w:w="100" w:type="dxa"/>
              <w:left w:w="120" w:type="dxa"/>
              <w:bottom w:w="100" w:type="dxa"/>
              <w:right w:w="120" w:type="dxa"/>
            </w:tcMar>
            <w:vAlign w:val="center"/>
          </w:tcPr>
          <w:p w14:paraId="62D54EE1"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Result</w:t>
            </w:r>
          </w:p>
        </w:tc>
      </w:tr>
      <w:tr w:rsidR="00C83590" w:rsidRPr="00ED1409" w14:paraId="3661235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A7BAC4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Engagement Retention Ratio</w:t>
            </w:r>
          </w:p>
        </w:tc>
        <w:tc>
          <w:tcPr>
            <w:tcW w:w="4126" w:type="dxa"/>
            <w:shd w:val="clear" w:color="auto" w:fill="FFFFFF"/>
            <w:tcMar>
              <w:top w:w="100" w:type="dxa"/>
              <w:left w:w="120" w:type="dxa"/>
              <w:bottom w:w="100" w:type="dxa"/>
              <w:right w:w="120" w:type="dxa"/>
            </w:tcMar>
            <w:vAlign w:val="center"/>
          </w:tcPr>
          <w:p w14:paraId="658BD99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Churn rate of inactive customers ÷ churn rate of active customers</w:t>
            </w:r>
          </w:p>
        </w:tc>
        <w:tc>
          <w:tcPr>
            <w:tcW w:w="2500" w:type="dxa"/>
            <w:shd w:val="clear" w:color="auto" w:fill="FFFFFF"/>
            <w:tcMar>
              <w:top w:w="100" w:type="dxa"/>
              <w:left w:w="120" w:type="dxa"/>
              <w:bottom w:w="100" w:type="dxa"/>
              <w:right w:w="120" w:type="dxa"/>
            </w:tcMar>
            <w:vAlign w:val="center"/>
          </w:tcPr>
          <w:p w14:paraId="4127FEA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1.88</w:t>
            </w:r>
            <w:proofErr w:type="gramStart"/>
            <w:r w:rsidRPr="00ED1409">
              <w:rPr>
                <w:rFonts w:ascii="Times New Roman" w:hAnsi="Times New Roman" w:cs="Times New Roman"/>
                <w:color w:val="222222"/>
                <w:sz w:val="19"/>
                <w:szCs w:val="19"/>
              </w:rPr>
              <w:t>×  (</w:t>
            </w:r>
            <w:proofErr w:type="gramEnd"/>
            <w:r w:rsidRPr="00ED1409">
              <w:rPr>
                <w:rFonts w:ascii="Times New Roman" w:hAnsi="Times New Roman" w:cs="Times New Roman"/>
                <w:color w:val="222222"/>
                <w:sz w:val="19"/>
                <w:szCs w:val="19"/>
              </w:rPr>
              <w:t>26.9% vs. 14.3%)</w:t>
            </w:r>
          </w:p>
        </w:tc>
      </w:tr>
      <w:tr w:rsidR="00C83590" w:rsidRPr="00ED1409" w14:paraId="46FFB77C" w14:textId="77777777">
        <w:tblPrEx>
          <w:tblCellMar>
            <w:top w:w="0" w:type="dxa"/>
            <w:bottom w:w="0" w:type="dxa"/>
          </w:tblCellMar>
        </w:tblPrEx>
        <w:tc>
          <w:tcPr>
            <w:tcW w:w="2400" w:type="dxa"/>
            <w:shd w:val="clear" w:color="auto" w:fill="F2F3F5"/>
            <w:tcMar>
              <w:top w:w="100" w:type="dxa"/>
              <w:left w:w="120" w:type="dxa"/>
              <w:bottom w:w="100" w:type="dxa"/>
              <w:right w:w="120" w:type="dxa"/>
            </w:tcMar>
            <w:vAlign w:val="center"/>
          </w:tcPr>
          <w:p w14:paraId="4796605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Product Depth Index</w:t>
            </w:r>
          </w:p>
        </w:tc>
        <w:tc>
          <w:tcPr>
            <w:tcW w:w="4126" w:type="dxa"/>
            <w:shd w:val="clear" w:color="auto" w:fill="F2F3F5"/>
            <w:tcMar>
              <w:top w:w="100" w:type="dxa"/>
              <w:left w:w="120" w:type="dxa"/>
              <w:bottom w:w="100" w:type="dxa"/>
              <w:right w:w="120" w:type="dxa"/>
            </w:tcMar>
            <w:vAlign w:val="center"/>
          </w:tcPr>
          <w:p w14:paraId="6EFA638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Churn rate at the optimal 2-product tier vs. the 3+-product tier</w:t>
            </w:r>
          </w:p>
        </w:tc>
        <w:tc>
          <w:tcPr>
            <w:tcW w:w="2500" w:type="dxa"/>
            <w:shd w:val="clear" w:color="auto" w:fill="F2F3F5"/>
            <w:tcMar>
              <w:top w:w="100" w:type="dxa"/>
              <w:left w:w="120" w:type="dxa"/>
              <w:bottom w:w="100" w:type="dxa"/>
              <w:right w:w="120" w:type="dxa"/>
            </w:tcMar>
            <w:vAlign w:val="center"/>
          </w:tcPr>
          <w:p w14:paraId="16C963A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7.6% vs. 85.9</w:t>
            </w:r>
            <w:proofErr w:type="gramStart"/>
            <w:r w:rsidRPr="00ED1409">
              <w:rPr>
                <w:rFonts w:ascii="Times New Roman" w:hAnsi="Times New Roman" w:cs="Times New Roman"/>
                <w:color w:val="222222"/>
                <w:sz w:val="19"/>
                <w:szCs w:val="19"/>
              </w:rPr>
              <w:t>%  (</w:t>
            </w:r>
            <w:proofErr w:type="gramEnd"/>
            <w:r w:rsidRPr="00ED1409">
              <w:rPr>
                <w:rFonts w:ascii="Times New Roman" w:hAnsi="Times New Roman" w:cs="Times New Roman"/>
                <w:color w:val="222222"/>
                <w:sz w:val="19"/>
                <w:szCs w:val="19"/>
              </w:rPr>
              <w:t>11.3× gap)</w:t>
            </w:r>
          </w:p>
        </w:tc>
      </w:tr>
      <w:tr w:rsidR="00C83590" w:rsidRPr="00ED1409" w14:paraId="48D7A76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B2ED90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High-Balance Disengagement Rate</w:t>
            </w:r>
          </w:p>
        </w:tc>
        <w:tc>
          <w:tcPr>
            <w:tcW w:w="4126" w:type="dxa"/>
            <w:shd w:val="clear" w:color="auto" w:fill="FFFFFF"/>
            <w:tcMar>
              <w:top w:w="100" w:type="dxa"/>
              <w:left w:w="120" w:type="dxa"/>
              <w:bottom w:w="100" w:type="dxa"/>
              <w:right w:w="120" w:type="dxa"/>
            </w:tcMar>
            <w:vAlign w:val="center"/>
          </w:tcPr>
          <w:p w14:paraId="2F48B83D"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Share of top-quartile-balance customers who are inactive</w:t>
            </w:r>
          </w:p>
        </w:tc>
        <w:tc>
          <w:tcPr>
            <w:tcW w:w="2500" w:type="dxa"/>
            <w:shd w:val="clear" w:color="auto" w:fill="FFFFFF"/>
            <w:tcMar>
              <w:top w:w="100" w:type="dxa"/>
              <w:left w:w="120" w:type="dxa"/>
              <w:bottom w:w="100" w:type="dxa"/>
              <w:right w:w="120" w:type="dxa"/>
            </w:tcMar>
            <w:vAlign w:val="center"/>
          </w:tcPr>
          <w:p w14:paraId="13D0B5B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49.9</w:t>
            </w:r>
            <w:proofErr w:type="gramStart"/>
            <w:r w:rsidRPr="00ED1409">
              <w:rPr>
                <w:rFonts w:ascii="Times New Roman" w:hAnsi="Times New Roman" w:cs="Times New Roman"/>
                <w:color w:val="222222"/>
                <w:sz w:val="19"/>
                <w:szCs w:val="19"/>
              </w:rPr>
              <w:t>%  (</w:t>
            </w:r>
            <w:proofErr w:type="gramEnd"/>
            <w:r w:rsidRPr="00ED1409">
              <w:rPr>
                <w:rFonts w:ascii="Times New Roman" w:hAnsi="Times New Roman" w:cs="Times New Roman"/>
                <w:color w:val="222222"/>
                <w:sz w:val="19"/>
                <w:szCs w:val="19"/>
              </w:rPr>
              <w:t>1,247 customers)</w:t>
            </w:r>
          </w:p>
        </w:tc>
      </w:tr>
      <w:tr w:rsidR="00C83590" w:rsidRPr="00ED1409" w14:paraId="22AF6E55" w14:textId="77777777">
        <w:tblPrEx>
          <w:tblCellMar>
            <w:top w:w="0" w:type="dxa"/>
            <w:bottom w:w="0" w:type="dxa"/>
          </w:tblCellMar>
        </w:tblPrEx>
        <w:tc>
          <w:tcPr>
            <w:tcW w:w="2400" w:type="dxa"/>
            <w:shd w:val="clear" w:color="auto" w:fill="F2F3F5"/>
            <w:tcMar>
              <w:top w:w="100" w:type="dxa"/>
              <w:left w:w="120" w:type="dxa"/>
              <w:bottom w:w="100" w:type="dxa"/>
              <w:right w:w="120" w:type="dxa"/>
            </w:tcMar>
            <w:vAlign w:val="center"/>
          </w:tcPr>
          <w:p w14:paraId="143E4C0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Credit Card Stickiness Score</w:t>
            </w:r>
          </w:p>
        </w:tc>
        <w:tc>
          <w:tcPr>
            <w:tcW w:w="4126" w:type="dxa"/>
            <w:shd w:val="clear" w:color="auto" w:fill="F2F3F5"/>
            <w:tcMar>
              <w:top w:w="100" w:type="dxa"/>
              <w:left w:w="120" w:type="dxa"/>
              <w:bottom w:w="100" w:type="dxa"/>
              <w:right w:w="120" w:type="dxa"/>
            </w:tcMar>
            <w:vAlign w:val="center"/>
          </w:tcPr>
          <w:p w14:paraId="34F6623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Churn rate (no card) − churn rate (card)</w:t>
            </w:r>
          </w:p>
        </w:tc>
        <w:tc>
          <w:tcPr>
            <w:tcW w:w="2500" w:type="dxa"/>
            <w:shd w:val="clear" w:color="auto" w:fill="F2F3F5"/>
            <w:tcMar>
              <w:top w:w="100" w:type="dxa"/>
              <w:left w:w="120" w:type="dxa"/>
              <w:bottom w:w="100" w:type="dxa"/>
              <w:right w:w="120" w:type="dxa"/>
            </w:tcMar>
            <w:vAlign w:val="center"/>
          </w:tcPr>
          <w:p w14:paraId="6B226CA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 xml:space="preserve">+0.6 </w:t>
            </w:r>
            <w:proofErr w:type="gramStart"/>
            <w:r w:rsidRPr="00ED1409">
              <w:rPr>
                <w:rFonts w:ascii="Times New Roman" w:hAnsi="Times New Roman" w:cs="Times New Roman"/>
                <w:color w:val="222222"/>
                <w:sz w:val="19"/>
                <w:szCs w:val="19"/>
              </w:rPr>
              <w:t>pts  (</w:t>
            </w:r>
            <w:proofErr w:type="gramEnd"/>
            <w:r w:rsidRPr="00ED1409">
              <w:rPr>
                <w:rFonts w:ascii="Times New Roman" w:hAnsi="Times New Roman" w:cs="Times New Roman"/>
                <w:color w:val="222222"/>
                <w:sz w:val="19"/>
                <w:szCs w:val="19"/>
              </w:rPr>
              <w:t>20.8% vs. 20.2%)</w:t>
            </w:r>
          </w:p>
        </w:tc>
      </w:tr>
      <w:tr w:rsidR="00C83590" w:rsidRPr="00ED1409" w14:paraId="3065E1F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3F286BC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Relationship Strength Index</w:t>
            </w:r>
          </w:p>
        </w:tc>
        <w:tc>
          <w:tcPr>
            <w:tcW w:w="4126" w:type="dxa"/>
            <w:shd w:val="clear" w:color="auto" w:fill="FFFFFF"/>
            <w:tcMar>
              <w:top w:w="100" w:type="dxa"/>
              <w:left w:w="120" w:type="dxa"/>
              <w:bottom w:w="100" w:type="dxa"/>
              <w:right w:w="120" w:type="dxa"/>
            </w:tcMar>
            <w:vAlign w:val="center"/>
          </w:tcPr>
          <w:p w14:paraId="0CBA796C"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Composite 0–6 engagement/product/tenure score vs. churn</w:t>
            </w:r>
          </w:p>
        </w:tc>
        <w:tc>
          <w:tcPr>
            <w:tcW w:w="2500" w:type="dxa"/>
            <w:shd w:val="clear" w:color="auto" w:fill="FFFFFF"/>
            <w:tcMar>
              <w:top w:w="100" w:type="dxa"/>
              <w:left w:w="120" w:type="dxa"/>
              <w:bottom w:w="100" w:type="dxa"/>
              <w:right w:w="120" w:type="dxa"/>
            </w:tcMar>
            <w:vAlign w:val="center"/>
          </w:tcPr>
          <w:p w14:paraId="68D0E173"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96.0% (score 0) → 5.0% (score 6)</w:t>
            </w:r>
          </w:p>
        </w:tc>
      </w:tr>
    </w:tbl>
    <w:p w14:paraId="4F9B0E8F" w14:textId="77777777" w:rsidR="00C83590" w:rsidRPr="00ED1409" w:rsidRDefault="00C83590">
      <w:pPr>
        <w:spacing w:after="240"/>
        <w:rPr>
          <w:rFonts w:ascii="Times New Roman" w:hAnsi="Times New Roman" w:cs="Times New Roman"/>
        </w:rPr>
      </w:pPr>
    </w:p>
    <w:p w14:paraId="0A8A5C85" w14:textId="77777777" w:rsidR="00C83590" w:rsidRPr="00ED1409" w:rsidRDefault="009F5187">
      <w:pPr>
        <w:pStyle w:val="Heading2"/>
        <w:spacing w:before="320" w:after="160"/>
        <w:rPr>
          <w:rFonts w:ascii="Times New Roman" w:hAnsi="Times New Roman" w:cs="Times New Roman"/>
        </w:rPr>
      </w:pPr>
      <w:bookmarkStart w:id="23" w:name="_Toc235001499"/>
      <w:r w:rsidRPr="00ED1409">
        <w:rPr>
          <w:rFonts w:ascii="Times New Roman" w:hAnsi="Times New Roman" w:cs="Times New Roman"/>
          <w:b/>
          <w:bCs/>
          <w:color w:val="1E8A8A"/>
        </w:rPr>
        <w:t>Interpretation</w:t>
      </w:r>
      <w:bookmarkEnd w:id="23"/>
    </w:p>
    <w:p w14:paraId="790C0240"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Engagement Retention Ratio (1.88×): </w:t>
      </w:r>
      <w:r w:rsidRPr="00ED1409">
        <w:rPr>
          <w:rFonts w:ascii="Times New Roman" w:hAnsi="Times New Roman" w:cs="Times New Roman"/>
          <w:sz w:val="22"/>
          <w:szCs w:val="22"/>
        </w:rPr>
        <w:t>Inactivity is the single most reliable, and most actionable, churn signal available — nearly twice the risk of active customers. This KPI should anchor any early-warning dashboard.</w:t>
      </w:r>
    </w:p>
    <w:p w14:paraId="5CBF4A55"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Product Depth Index (11.3× gap): </w:t>
      </w:r>
      <w:r w:rsidRPr="00ED1409">
        <w:rPr>
          <w:rFonts w:ascii="Times New Roman" w:hAnsi="Times New Roman" w:cs="Times New Roman"/>
          <w:sz w:val="22"/>
          <w:szCs w:val="22"/>
        </w:rPr>
        <w:t xml:space="preserve">Two products </w:t>
      </w:r>
      <w:proofErr w:type="gramStart"/>
      <w:r w:rsidRPr="00ED1409">
        <w:rPr>
          <w:rFonts w:ascii="Times New Roman" w:hAnsi="Times New Roman" w:cs="Times New Roman"/>
          <w:sz w:val="22"/>
          <w:szCs w:val="22"/>
        </w:rPr>
        <w:t>is</w:t>
      </w:r>
      <w:proofErr w:type="gramEnd"/>
      <w:r w:rsidRPr="00ED1409">
        <w:rPr>
          <w:rFonts w:ascii="Times New Roman" w:hAnsi="Times New Roman" w:cs="Times New Roman"/>
          <w:sz w:val="22"/>
          <w:szCs w:val="22"/>
        </w:rPr>
        <w:t xml:space="preserve"> the retention "sweet spot." Cross-sell targets should stop at two well-matched products rather than maximizing product count; a third or fourth product should trigger a relationship health review, not be treated as a success metric.</w:t>
      </w:r>
    </w:p>
    <w:p w14:paraId="31938D1A"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High-Balance Disengagement Rate (49.9%): </w:t>
      </w:r>
      <w:r w:rsidRPr="00ED1409">
        <w:rPr>
          <w:rFonts w:ascii="Times New Roman" w:hAnsi="Times New Roman" w:cs="Times New Roman"/>
          <w:sz w:val="22"/>
          <w:szCs w:val="22"/>
        </w:rPr>
        <w:t>Roughly one in two premium customers is already disengaged. This KPI should be tracked monthly as a leading indicator of silent churn exposure, given it directly touches €185.6 million in portfolio deposits.</w:t>
      </w:r>
    </w:p>
    <w:p w14:paraId="0498D958"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Credit Card Stickiness Score (+0.6 pts): </w:t>
      </w:r>
      <w:r w:rsidRPr="00ED1409">
        <w:rPr>
          <w:rFonts w:ascii="Times New Roman" w:hAnsi="Times New Roman" w:cs="Times New Roman"/>
          <w:sz w:val="22"/>
          <w:szCs w:val="22"/>
        </w:rPr>
        <w:t>Card ownership has negligible retention value in this portfolio. The Bank should not rely on card issuance alone as a loyalty lever, and should redirect retention budget toward activity-driving initiatives instead.</w:t>
      </w:r>
    </w:p>
    <w:p w14:paraId="76D6AF9A"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Relationship Strength Index (96% → 5%): </w:t>
      </w:r>
      <w:r w:rsidRPr="00ED1409">
        <w:rPr>
          <w:rFonts w:ascii="Times New Roman" w:hAnsi="Times New Roman" w:cs="Times New Roman"/>
          <w:sz w:val="22"/>
          <w:szCs w:val="22"/>
        </w:rPr>
        <w:t>The single most powerful predictor identified in this study. RSI is recommended as the primary scoring mechanism for retention outreach prioritization (see Section 8).</w:t>
      </w:r>
    </w:p>
    <w:p w14:paraId="251B8E59"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2D30B949"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24" w:name="_Toc235001500"/>
      <w:r w:rsidRPr="00ED1409">
        <w:rPr>
          <w:rFonts w:ascii="Times New Roman" w:hAnsi="Times New Roman" w:cs="Times New Roman"/>
          <w:b/>
          <w:bCs/>
          <w:color w:val="1B2A4A"/>
        </w:rPr>
        <w:lastRenderedPageBreak/>
        <w:t>8. Recommendations</w:t>
      </w:r>
      <w:bookmarkEnd w:id="24"/>
    </w:p>
    <w:p w14:paraId="4140EDE7" w14:textId="77777777" w:rsidR="00C83590" w:rsidRPr="00ED1409" w:rsidRDefault="009F5187">
      <w:pPr>
        <w:pStyle w:val="Heading2"/>
        <w:spacing w:before="320" w:after="160"/>
        <w:rPr>
          <w:rFonts w:ascii="Times New Roman" w:hAnsi="Times New Roman" w:cs="Times New Roman"/>
        </w:rPr>
      </w:pPr>
      <w:bookmarkStart w:id="25" w:name="_Toc235001501"/>
      <w:proofErr w:type="gramStart"/>
      <w:r w:rsidRPr="00ED1409">
        <w:rPr>
          <w:rFonts w:ascii="Times New Roman" w:hAnsi="Times New Roman" w:cs="Times New Roman"/>
          <w:b/>
          <w:bCs/>
          <w:color w:val="1E8A8A"/>
        </w:rPr>
        <w:t>8.1  Engagement</w:t>
      </w:r>
      <w:proofErr w:type="gramEnd"/>
      <w:r w:rsidRPr="00ED1409">
        <w:rPr>
          <w:rFonts w:ascii="Times New Roman" w:hAnsi="Times New Roman" w:cs="Times New Roman"/>
          <w:b/>
          <w:bCs/>
          <w:color w:val="1E8A8A"/>
        </w:rPr>
        <w:t>-Driven Retention Initiatives</w:t>
      </w:r>
      <w:bookmarkEnd w:id="25"/>
    </w:p>
    <w:p w14:paraId="72F37C39"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Deploy the Relationship Strength Index (RSI) as a live scoring field in the CRM, with automated outreach triggers for any customer scoring 0–2 (35.8%–96.0% observed churn range).</w:t>
      </w:r>
    </w:p>
    <w:p w14:paraId="01F19796"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Prioritize reactivation campaigns over acquisition spend for the 3,602 Inactive, Disengaged customers — the largest single profile in the portfolio at 36% of all customers.</w:t>
      </w:r>
    </w:p>
    <w:p w14:paraId="2C511927"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Build a specific "silent churn" alert for high-balance customers whose activity status changes from active to inactive, given the segment's outsized 24.3% share of total deposits.</w:t>
      </w:r>
    </w:p>
    <w:p w14:paraId="3E3EC7D5" w14:textId="77777777" w:rsidR="00C83590" w:rsidRPr="00ED1409" w:rsidRDefault="009F5187">
      <w:pPr>
        <w:pStyle w:val="Heading2"/>
        <w:spacing w:before="320" w:after="160"/>
        <w:rPr>
          <w:rFonts w:ascii="Times New Roman" w:hAnsi="Times New Roman" w:cs="Times New Roman"/>
        </w:rPr>
      </w:pPr>
      <w:bookmarkStart w:id="26" w:name="_Toc235001502"/>
      <w:proofErr w:type="gramStart"/>
      <w:r w:rsidRPr="00ED1409">
        <w:rPr>
          <w:rFonts w:ascii="Times New Roman" w:hAnsi="Times New Roman" w:cs="Times New Roman"/>
          <w:b/>
          <w:bCs/>
          <w:color w:val="1E8A8A"/>
        </w:rPr>
        <w:t>8.2  Product</w:t>
      </w:r>
      <w:proofErr w:type="gramEnd"/>
      <w:r w:rsidRPr="00ED1409">
        <w:rPr>
          <w:rFonts w:ascii="Times New Roman" w:hAnsi="Times New Roman" w:cs="Times New Roman"/>
          <w:b/>
          <w:bCs/>
          <w:color w:val="1E8A8A"/>
        </w:rPr>
        <w:t xml:space="preserve"> Bundling Strategy</w:t>
      </w:r>
      <w:bookmarkEnd w:id="26"/>
    </w:p>
    <w:p w14:paraId="09851EFC"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Set a cross-sell target of two products per customer as the standard "healthy relationship" benchmark, rather than maximizing product count.</w:t>
      </w:r>
    </w:p>
    <w:p w14:paraId="53024C8A"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Treat any move to a third or fourth product as a mandatory relationship-health review trigger rather than a pure sales win, given the 85.9% churn rate observed at that tier.</w:t>
      </w:r>
    </w:p>
    <w:p w14:paraId="1A3F1D4E"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Investigate the root cause of the three-plus product cohort directly (e.g., through customer interviews or complaint-log review) before designing further multi-product bundles, since the current data cannot distinguish over-selling from active dissatisfaction as the underlying cause.</w:t>
      </w:r>
    </w:p>
    <w:p w14:paraId="025404A5" w14:textId="77777777" w:rsidR="00C83590" w:rsidRPr="00ED1409" w:rsidRDefault="009F5187">
      <w:pPr>
        <w:pStyle w:val="Heading2"/>
        <w:spacing w:before="320" w:after="160"/>
        <w:rPr>
          <w:rFonts w:ascii="Times New Roman" w:hAnsi="Times New Roman" w:cs="Times New Roman"/>
        </w:rPr>
      </w:pPr>
      <w:bookmarkStart w:id="27" w:name="_Toc235001503"/>
      <w:proofErr w:type="gramStart"/>
      <w:r w:rsidRPr="00ED1409">
        <w:rPr>
          <w:rFonts w:ascii="Times New Roman" w:hAnsi="Times New Roman" w:cs="Times New Roman"/>
          <w:b/>
          <w:bCs/>
          <w:color w:val="1E8A8A"/>
        </w:rPr>
        <w:t>8.3  Loyalty</w:t>
      </w:r>
      <w:proofErr w:type="gramEnd"/>
      <w:r w:rsidRPr="00ED1409">
        <w:rPr>
          <w:rFonts w:ascii="Times New Roman" w:hAnsi="Times New Roman" w:cs="Times New Roman"/>
          <w:b/>
          <w:bCs/>
          <w:color w:val="1E8A8A"/>
        </w:rPr>
        <w:t xml:space="preserve"> Program Design</w:t>
      </w:r>
      <w:bookmarkEnd w:id="27"/>
    </w:p>
    <w:p w14:paraId="6C42D01B"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Anchor loyalty-tier qualification to engagement and relationship depth (RSI) rather than balance or salary thresholds, which this study found to be poor standalone predictors of loyalty.</w:t>
      </w:r>
    </w:p>
    <w:p w14:paraId="5A36956B"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De-prioritize credit card issuance as a stand-alone loyalty lever given its negligible (+0.6 point) observed impact on retention; redirect the associated incentive budget toward activity-based rewards.</w:t>
      </w:r>
    </w:p>
    <w:p w14:paraId="7B0F1324"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Consider a differentiated German-market loyalty track, given churn roughly double that of France and Spain under otherwise similar product mechanics.</w:t>
      </w:r>
    </w:p>
    <w:p w14:paraId="0C5E5427" w14:textId="77777777" w:rsidR="00C83590" w:rsidRPr="00ED1409" w:rsidRDefault="009F5187">
      <w:pPr>
        <w:pStyle w:val="Heading2"/>
        <w:spacing w:before="320" w:after="160"/>
        <w:rPr>
          <w:rFonts w:ascii="Times New Roman" w:hAnsi="Times New Roman" w:cs="Times New Roman"/>
        </w:rPr>
      </w:pPr>
      <w:bookmarkStart w:id="28" w:name="_Toc235001504"/>
      <w:proofErr w:type="gramStart"/>
      <w:r w:rsidRPr="00ED1409">
        <w:rPr>
          <w:rFonts w:ascii="Times New Roman" w:hAnsi="Times New Roman" w:cs="Times New Roman"/>
          <w:b/>
          <w:bCs/>
          <w:color w:val="1E8A8A"/>
        </w:rPr>
        <w:t>8.4  Monitoring</w:t>
      </w:r>
      <w:proofErr w:type="gramEnd"/>
      <w:r w:rsidRPr="00ED1409">
        <w:rPr>
          <w:rFonts w:ascii="Times New Roman" w:hAnsi="Times New Roman" w:cs="Times New Roman"/>
          <w:b/>
          <w:bCs/>
          <w:color w:val="1E8A8A"/>
        </w:rPr>
        <w:t xml:space="preserve"> &amp; Governance</w:t>
      </w:r>
      <w:bookmarkEnd w:id="28"/>
    </w:p>
    <w:p w14:paraId="19CF0A40"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 xml:space="preserve">Track all five KPIs in Section 7 on a monthly cadence via the accompanying </w:t>
      </w:r>
      <w:proofErr w:type="spellStart"/>
      <w:r w:rsidRPr="00ED1409">
        <w:rPr>
          <w:rFonts w:ascii="Times New Roman" w:hAnsi="Times New Roman" w:cs="Times New Roman"/>
          <w:sz w:val="22"/>
          <w:szCs w:val="22"/>
        </w:rPr>
        <w:t>Streamlit</w:t>
      </w:r>
      <w:proofErr w:type="spellEnd"/>
      <w:r w:rsidRPr="00ED1409">
        <w:rPr>
          <w:rFonts w:ascii="Times New Roman" w:hAnsi="Times New Roman" w:cs="Times New Roman"/>
          <w:sz w:val="22"/>
          <w:szCs w:val="22"/>
        </w:rPr>
        <w:t xml:space="preserve"> dashboard, with the High-Balance Disengagement Rate and RSI distribution as the two headline metrics for executive reporting.</w:t>
      </w:r>
    </w:p>
    <w:p w14:paraId="36C907ED"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Re-run this analysis quarterly to confirm the product-depth paradox and RSI gradient remain stable as the Bank's product mix and market conditions evolve.</w:t>
      </w:r>
    </w:p>
    <w:p w14:paraId="5941DE4C" w14:textId="77777777" w:rsidR="00C83590" w:rsidRPr="00ED1409" w:rsidRDefault="009F5187">
      <w:pPr>
        <w:rPr>
          <w:rFonts w:ascii="Times New Roman" w:hAnsi="Times New Roman" w:cs="Times New Roman"/>
          <w:sz w:val="22"/>
          <w:szCs w:val="22"/>
        </w:rPr>
      </w:pPr>
      <w:r w:rsidRPr="00ED1409">
        <w:rPr>
          <w:rFonts w:ascii="Times New Roman" w:hAnsi="Times New Roman" w:cs="Times New Roman"/>
          <w:sz w:val="22"/>
          <w:szCs w:val="22"/>
        </w:rPr>
        <w:br w:type="page"/>
      </w:r>
    </w:p>
    <w:p w14:paraId="4EF9E339"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29" w:name="_Toc235001505"/>
      <w:r w:rsidRPr="00ED1409">
        <w:rPr>
          <w:rFonts w:ascii="Times New Roman" w:hAnsi="Times New Roman" w:cs="Times New Roman"/>
          <w:b/>
          <w:bCs/>
          <w:color w:val="1B2A4A"/>
        </w:rPr>
        <w:lastRenderedPageBreak/>
        <w:t>9. Conclusion</w:t>
      </w:r>
      <w:bookmarkEnd w:id="29"/>
    </w:p>
    <w:p w14:paraId="638EE4D6"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 xml:space="preserve">This analysis set out to test whether customer </w:t>
      </w:r>
      <w:proofErr w:type="spellStart"/>
      <w:r w:rsidRPr="00ED1409">
        <w:rPr>
          <w:rFonts w:ascii="Times New Roman" w:hAnsi="Times New Roman" w:cs="Times New Roman"/>
          <w:sz w:val="22"/>
          <w:szCs w:val="22"/>
        </w:rPr>
        <w:t>behavior</w:t>
      </w:r>
      <w:proofErr w:type="spellEnd"/>
      <w:r w:rsidRPr="00ED1409">
        <w:rPr>
          <w:rFonts w:ascii="Times New Roman" w:hAnsi="Times New Roman" w:cs="Times New Roman"/>
          <w:sz w:val="22"/>
          <w:szCs w:val="22"/>
        </w:rPr>
        <w:t xml:space="preserve"> and relationship depth explain retention better than demographic or financial strength alone. The evidence across 10,000 customers supports this reframing on every count tested: activity status separates low- and high-risk customers more cleanly than balance or salary; product depth shows a sharp non-linear "sweet spot" at two products rather than a simple more-is-better pattern; and a composite Relationship Strength Index outperforms any single variable as a churn predictor, moving from 96% to 5% </w:t>
      </w:r>
      <w:r w:rsidRPr="00ED1409">
        <w:rPr>
          <w:rFonts w:ascii="Times New Roman" w:hAnsi="Times New Roman" w:cs="Times New Roman"/>
          <w:sz w:val="22"/>
          <w:szCs w:val="22"/>
        </w:rPr>
        <w:t>churn across its range.</w:t>
      </w:r>
    </w:p>
    <w:p w14:paraId="7BEDCB7E"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Perhaps the most consequential single finding for the Bank is the scale of silent churn risk: nearly half of all high-balance customers are disengaged, together holding close to a quarter of total portfolio deposits. Left unaddressed, this segment represents the Bank's single largest source of preventable, and largely invisible, revenue attrition.</w:t>
      </w:r>
    </w:p>
    <w:p w14:paraId="6CA4943C" w14:textId="77777777" w:rsidR="00C83590" w:rsidRPr="00ED1409" w:rsidRDefault="009F5187">
      <w:pPr>
        <w:spacing w:after="160" w:line="288" w:lineRule="auto"/>
        <w:jc w:val="both"/>
        <w:rPr>
          <w:rFonts w:ascii="Times New Roman" w:hAnsi="Times New Roman" w:cs="Times New Roman"/>
        </w:rPr>
      </w:pPr>
      <w:r w:rsidRPr="00ED1409">
        <w:rPr>
          <w:rFonts w:ascii="Times New Roman" w:hAnsi="Times New Roman" w:cs="Times New Roman"/>
          <w:sz w:val="22"/>
          <w:szCs w:val="22"/>
        </w:rPr>
        <w:t>The recommendations in Section 8 are designed to be implementable without new data collection — they rely entirely on fields already captured in the Bank's core systems (activity status, product holdings, tenure, card ownership) — allowing the Bank to move from insight to action immediately</w:t>
      </w:r>
      <w:r w:rsidRPr="00ED1409">
        <w:rPr>
          <w:rFonts w:ascii="Times New Roman" w:hAnsi="Times New Roman" w:cs="Times New Roman"/>
        </w:rPr>
        <w:t>.</w:t>
      </w:r>
    </w:p>
    <w:p w14:paraId="00D7BE8F"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6FB611B1"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30" w:name="_Toc235001506"/>
      <w:r w:rsidRPr="00ED1409">
        <w:rPr>
          <w:rFonts w:ascii="Times New Roman" w:hAnsi="Times New Roman" w:cs="Times New Roman"/>
          <w:b/>
          <w:bCs/>
          <w:color w:val="1B2A4A"/>
        </w:rPr>
        <w:lastRenderedPageBreak/>
        <w:t>Appendix A: Segment &amp; KPI Definitions</w:t>
      </w:r>
      <w:bookmarkEnd w:id="30"/>
    </w:p>
    <w:p w14:paraId="36D1B7C7" w14:textId="77777777" w:rsidR="00C83590" w:rsidRPr="00ED1409" w:rsidRDefault="009F5187">
      <w:pPr>
        <w:pStyle w:val="Heading2"/>
        <w:spacing w:before="320" w:after="160"/>
        <w:rPr>
          <w:rFonts w:ascii="Times New Roman" w:hAnsi="Times New Roman" w:cs="Times New Roman"/>
        </w:rPr>
      </w:pPr>
      <w:bookmarkStart w:id="31" w:name="_Toc235001507"/>
      <w:r w:rsidRPr="00ED1409">
        <w:rPr>
          <w:rFonts w:ascii="Times New Roman" w:hAnsi="Times New Roman" w:cs="Times New Roman"/>
          <w:b/>
          <w:bCs/>
          <w:color w:val="1E8A8A"/>
        </w:rPr>
        <w:t>Engagement Profiles</w:t>
      </w:r>
      <w:bookmarkEnd w:id="31"/>
    </w:p>
    <w:p w14:paraId="268411B4" w14:textId="43DF73DC"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Active Engaged (Multi-Product): </w:t>
      </w:r>
      <w:r w:rsidRPr="00ED1409">
        <w:rPr>
          <w:rFonts w:ascii="Times New Roman" w:hAnsi="Times New Roman" w:cs="Times New Roman"/>
          <w:sz w:val="22"/>
          <w:szCs w:val="22"/>
        </w:rPr>
        <w:t>Is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Active</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Member = 1 and Num</w:t>
      </w:r>
      <w:r w:rsidR="00ED1409">
        <w:rPr>
          <w:rFonts w:ascii="Times New Roman" w:hAnsi="Times New Roman" w:cs="Times New Roman"/>
          <w:sz w:val="22"/>
          <w:szCs w:val="22"/>
        </w:rPr>
        <w:t xml:space="preserve"> o</w:t>
      </w:r>
      <w:r w:rsidRPr="00ED1409">
        <w:rPr>
          <w:rFonts w:ascii="Times New Roman" w:hAnsi="Times New Roman" w:cs="Times New Roman"/>
          <w:sz w:val="22"/>
          <w:szCs w:val="22"/>
        </w:rPr>
        <w:t>f</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Products ≥ 2.</w:t>
      </w:r>
    </w:p>
    <w:p w14:paraId="33A7FA03" w14:textId="586C5428"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Active, Low-Product: </w:t>
      </w:r>
      <w:r w:rsidRPr="00ED1409">
        <w:rPr>
          <w:rFonts w:ascii="Times New Roman" w:hAnsi="Times New Roman" w:cs="Times New Roman"/>
          <w:sz w:val="22"/>
          <w:szCs w:val="22"/>
        </w:rPr>
        <w:t>Is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Active</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Member = 1 and Num</w:t>
      </w:r>
      <w:r w:rsidR="00ED1409">
        <w:rPr>
          <w:rFonts w:ascii="Times New Roman" w:hAnsi="Times New Roman" w:cs="Times New Roman"/>
          <w:sz w:val="22"/>
          <w:szCs w:val="22"/>
        </w:rPr>
        <w:t xml:space="preserve"> o</w:t>
      </w:r>
      <w:r w:rsidRPr="00ED1409">
        <w:rPr>
          <w:rFonts w:ascii="Times New Roman" w:hAnsi="Times New Roman" w:cs="Times New Roman"/>
          <w:sz w:val="22"/>
          <w:szCs w:val="22"/>
        </w:rPr>
        <w:t>f</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Products = 1.</w:t>
      </w:r>
    </w:p>
    <w:p w14:paraId="4E2F13D7" w14:textId="6FCB62CD"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Inactive, High-Balance: </w:t>
      </w:r>
      <w:r w:rsidRPr="00ED1409">
        <w:rPr>
          <w:rFonts w:ascii="Times New Roman" w:hAnsi="Times New Roman" w:cs="Times New Roman"/>
          <w:sz w:val="22"/>
          <w:szCs w:val="22"/>
        </w:rPr>
        <w:t>Is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Active</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Member = 0 and Balance in the top quartile (≥ €127,644).</w:t>
      </w:r>
    </w:p>
    <w:p w14:paraId="7F18F545" w14:textId="507735C9"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b/>
          <w:bCs/>
          <w:sz w:val="22"/>
          <w:szCs w:val="22"/>
        </w:rPr>
        <w:t xml:space="preserve">Inactive, Disengaged: </w:t>
      </w:r>
      <w:r w:rsidRPr="00ED1409">
        <w:rPr>
          <w:rFonts w:ascii="Times New Roman" w:hAnsi="Times New Roman" w:cs="Times New Roman"/>
          <w:sz w:val="22"/>
          <w:szCs w:val="22"/>
        </w:rPr>
        <w:t>Is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Active</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Member = 0 and Balance below the top quartile.</w:t>
      </w:r>
    </w:p>
    <w:p w14:paraId="7B8653EB" w14:textId="77777777" w:rsidR="00C83590" w:rsidRPr="00ED1409" w:rsidRDefault="009F5187">
      <w:pPr>
        <w:pStyle w:val="Heading2"/>
        <w:spacing w:before="320" w:after="160"/>
        <w:rPr>
          <w:rFonts w:ascii="Times New Roman" w:hAnsi="Times New Roman" w:cs="Times New Roman"/>
        </w:rPr>
      </w:pPr>
      <w:bookmarkStart w:id="32" w:name="_Toc235001508"/>
      <w:r w:rsidRPr="00ED1409">
        <w:rPr>
          <w:rFonts w:ascii="Times New Roman" w:hAnsi="Times New Roman" w:cs="Times New Roman"/>
          <w:b/>
          <w:bCs/>
          <w:color w:val="1E8A8A"/>
        </w:rPr>
        <w:t>Relationship Strength Index (RSI) Scoring Rule</w:t>
      </w:r>
      <w:bookmarkEnd w:id="32"/>
    </w:p>
    <w:p w14:paraId="6B4E6850"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RSI is a 0–6 additive score computed per customer as follows:</w:t>
      </w:r>
    </w:p>
    <w:p w14:paraId="3A04AE56" w14:textId="1741E85A"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+2 points if Is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Active</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Member = 1</w:t>
      </w:r>
    </w:p>
    <w:p w14:paraId="60A0FB06" w14:textId="6E7AE0A1"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+2 points if Num</w:t>
      </w:r>
      <w:r w:rsidR="00ED1409">
        <w:rPr>
          <w:rFonts w:ascii="Times New Roman" w:hAnsi="Times New Roman" w:cs="Times New Roman"/>
          <w:sz w:val="22"/>
          <w:szCs w:val="22"/>
        </w:rPr>
        <w:t xml:space="preserve"> o</w:t>
      </w:r>
      <w:r w:rsidRPr="00ED1409">
        <w:rPr>
          <w:rFonts w:ascii="Times New Roman" w:hAnsi="Times New Roman" w:cs="Times New Roman"/>
          <w:sz w:val="22"/>
          <w:szCs w:val="22"/>
        </w:rPr>
        <w:t>f</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Products = 2 (the optimal tier identified in Section 6.3)</w:t>
      </w:r>
    </w:p>
    <w:p w14:paraId="1ACAF098" w14:textId="2E3277BC"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+1 point if Num</w:t>
      </w:r>
      <w:r w:rsidR="00ED1409">
        <w:rPr>
          <w:rFonts w:ascii="Times New Roman" w:hAnsi="Times New Roman" w:cs="Times New Roman"/>
          <w:sz w:val="22"/>
          <w:szCs w:val="22"/>
        </w:rPr>
        <w:t xml:space="preserve"> o</w:t>
      </w:r>
      <w:r w:rsidRPr="00ED1409">
        <w:rPr>
          <w:rFonts w:ascii="Times New Roman" w:hAnsi="Times New Roman" w:cs="Times New Roman"/>
          <w:sz w:val="22"/>
          <w:szCs w:val="22"/>
        </w:rPr>
        <w:t>f</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Products = 1</w:t>
      </w:r>
    </w:p>
    <w:p w14:paraId="767CC1C5" w14:textId="51DA5E26"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+1 point if Has</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C</w:t>
      </w:r>
      <w:r w:rsidRPr="00ED1409">
        <w:rPr>
          <w:rFonts w:ascii="Times New Roman" w:hAnsi="Times New Roman" w:cs="Times New Roman"/>
          <w:sz w:val="22"/>
          <w:szCs w:val="22"/>
        </w:rPr>
        <w:t>r</w:t>
      </w:r>
      <w:r w:rsidR="00ED1409">
        <w:rPr>
          <w:rFonts w:ascii="Times New Roman" w:hAnsi="Times New Roman" w:cs="Times New Roman"/>
          <w:sz w:val="22"/>
          <w:szCs w:val="22"/>
        </w:rPr>
        <w:t xml:space="preserve"> </w:t>
      </w:r>
      <w:r w:rsidRPr="00ED1409">
        <w:rPr>
          <w:rFonts w:ascii="Times New Roman" w:hAnsi="Times New Roman" w:cs="Times New Roman"/>
          <w:sz w:val="22"/>
          <w:szCs w:val="22"/>
        </w:rPr>
        <w:t>Card = 1</w:t>
      </w:r>
    </w:p>
    <w:p w14:paraId="2B229881" w14:textId="77777777" w:rsidR="00C83590" w:rsidRPr="00ED1409" w:rsidRDefault="009F5187">
      <w:pPr>
        <w:pStyle w:val="ListParagraph"/>
        <w:numPr>
          <w:ilvl w:val="0"/>
          <w:numId w:val="2"/>
        </w:numPr>
        <w:spacing w:after="100" w:line="276" w:lineRule="auto"/>
        <w:rPr>
          <w:rFonts w:ascii="Times New Roman" w:hAnsi="Times New Roman" w:cs="Times New Roman"/>
          <w:sz w:val="22"/>
          <w:szCs w:val="22"/>
        </w:rPr>
      </w:pPr>
      <w:r w:rsidRPr="00ED1409">
        <w:rPr>
          <w:rFonts w:ascii="Times New Roman" w:hAnsi="Times New Roman" w:cs="Times New Roman"/>
          <w:sz w:val="22"/>
          <w:szCs w:val="22"/>
        </w:rPr>
        <w:t>+1 point if Tenure ≥ 5 years</w:t>
      </w:r>
    </w:p>
    <w:p w14:paraId="6941631B"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Note: three-and four-product holders receive 0 points from the product-tier component, consistent with their observed high-risk status; this is a deliberate design choice reflecting the Section 6.3 findings rather than an oversight.</w:t>
      </w:r>
    </w:p>
    <w:p w14:paraId="0C83DF46" w14:textId="77777777" w:rsidR="00C83590" w:rsidRPr="00ED1409" w:rsidRDefault="009F5187">
      <w:pPr>
        <w:pStyle w:val="Heading2"/>
        <w:spacing w:before="320" w:after="160"/>
        <w:rPr>
          <w:rFonts w:ascii="Times New Roman" w:hAnsi="Times New Roman" w:cs="Times New Roman"/>
        </w:rPr>
      </w:pPr>
      <w:bookmarkStart w:id="33" w:name="_Toc235001509"/>
      <w:r w:rsidRPr="00ED1409">
        <w:rPr>
          <w:rFonts w:ascii="Times New Roman" w:hAnsi="Times New Roman" w:cs="Times New Roman"/>
          <w:b/>
          <w:bCs/>
          <w:color w:val="1E8A8A"/>
        </w:rPr>
        <w:t>High-Balance Threshold</w:t>
      </w:r>
      <w:bookmarkEnd w:id="33"/>
    </w:p>
    <w:p w14:paraId="3A193973" w14:textId="77777777" w:rsidR="00C83590" w:rsidRPr="00ED1409" w:rsidRDefault="009F5187">
      <w:pPr>
        <w:spacing w:after="160" w:line="288" w:lineRule="auto"/>
        <w:jc w:val="both"/>
        <w:rPr>
          <w:rFonts w:ascii="Times New Roman" w:hAnsi="Times New Roman" w:cs="Times New Roman"/>
          <w:sz w:val="22"/>
          <w:szCs w:val="22"/>
        </w:rPr>
      </w:pPr>
      <w:r w:rsidRPr="00ED1409">
        <w:rPr>
          <w:rFonts w:ascii="Times New Roman" w:hAnsi="Times New Roman" w:cs="Times New Roman"/>
          <w:sz w:val="22"/>
          <w:szCs w:val="22"/>
        </w:rPr>
        <w:t>Defined as the 75th percentile of account balance across the full portfolio (≥ €127,644), consistent with standard quartile-based premium-segment definitions.</w:t>
      </w:r>
    </w:p>
    <w:p w14:paraId="74BDD361" w14:textId="77777777" w:rsidR="00C83590" w:rsidRPr="00ED1409" w:rsidRDefault="009F5187">
      <w:pPr>
        <w:rPr>
          <w:rFonts w:ascii="Times New Roman" w:hAnsi="Times New Roman" w:cs="Times New Roman"/>
        </w:rPr>
      </w:pPr>
      <w:r w:rsidRPr="00ED1409">
        <w:rPr>
          <w:rFonts w:ascii="Times New Roman" w:hAnsi="Times New Roman" w:cs="Times New Roman"/>
        </w:rPr>
        <w:br w:type="page"/>
      </w:r>
    </w:p>
    <w:p w14:paraId="316331F1" w14:textId="77777777" w:rsidR="00C83590" w:rsidRPr="00ED1409" w:rsidRDefault="009F5187">
      <w:pPr>
        <w:pStyle w:val="Heading1"/>
        <w:pBdr>
          <w:bottom w:val="single" w:sz="6" w:space="4" w:color="1B2A4A"/>
        </w:pBdr>
        <w:spacing w:before="480" w:after="240"/>
        <w:rPr>
          <w:rFonts w:ascii="Times New Roman" w:hAnsi="Times New Roman" w:cs="Times New Roman"/>
        </w:rPr>
      </w:pPr>
      <w:bookmarkStart w:id="34" w:name="_Toc235001510"/>
      <w:r w:rsidRPr="00ED1409">
        <w:rPr>
          <w:rFonts w:ascii="Times New Roman" w:hAnsi="Times New Roman" w:cs="Times New Roman"/>
          <w:b/>
          <w:bCs/>
          <w:color w:val="1B2A4A"/>
        </w:rPr>
        <w:lastRenderedPageBreak/>
        <w:t>Appendix B: Supplementary Statistical Tables</w:t>
      </w:r>
      <w:bookmarkEnd w:id="34"/>
    </w:p>
    <w:p w14:paraId="457FAE36" w14:textId="77777777" w:rsidR="00C83590" w:rsidRPr="00ED1409" w:rsidRDefault="009F5187">
      <w:pPr>
        <w:pStyle w:val="Heading2"/>
        <w:spacing w:before="320" w:after="160"/>
        <w:rPr>
          <w:rFonts w:ascii="Times New Roman" w:hAnsi="Times New Roman" w:cs="Times New Roman"/>
        </w:rPr>
      </w:pPr>
      <w:bookmarkStart w:id="35" w:name="_Toc235001511"/>
      <w:r w:rsidRPr="00ED1409">
        <w:rPr>
          <w:rFonts w:ascii="Times New Roman" w:hAnsi="Times New Roman" w:cs="Times New Roman"/>
          <w:b/>
          <w:bCs/>
          <w:color w:val="1E8A8A"/>
        </w:rPr>
        <w:t>Balance &amp; Product Averages by Outcome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C83590" w:rsidRPr="00ED1409" w14:paraId="3A2EDB1E"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4E4B2848"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Metric</w:t>
            </w:r>
          </w:p>
        </w:tc>
        <w:tc>
          <w:tcPr>
            <w:tcW w:w="2913" w:type="dxa"/>
            <w:shd w:val="clear" w:color="auto" w:fill="1B2A4A"/>
            <w:tcMar>
              <w:top w:w="100" w:type="dxa"/>
              <w:left w:w="120" w:type="dxa"/>
              <w:bottom w:w="100" w:type="dxa"/>
              <w:right w:w="120" w:type="dxa"/>
            </w:tcMar>
            <w:vAlign w:val="center"/>
          </w:tcPr>
          <w:p w14:paraId="345523C1"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Retained</w:t>
            </w:r>
          </w:p>
        </w:tc>
        <w:tc>
          <w:tcPr>
            <w:tcW w:w="2913" w:type="dxa"/>
            <w:shd w:val="clear" w:color="auto" w:fill="1B2A4A"/>
            <w:tcMar>
              <w:top w:w="100" w:type="dxa"/>
              <w:left w:w="120" w:type="dxa"/>
              <w:bottom w:w="100" w:type="dxa"/>
              <w:right w:w="120" w:type="dxa"/>
            </w:tcMar>
            <w:vAlign w:val="center"/>
          </w:tcPr>
          <w:p w14:paraId="41497589"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Churned</w:t>
            </w:r>
          </w:p>
        </w:tc>
      </w:tr>
      <w:tr w:rsidR="00C83590" w:rsidRPr="00ED1409" w14:paraId="2873F329"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3298D947"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Average Balance (EUR)</w:t>
            </w:r>
          </w:p>
        </w:tc>
        <w:tc>
          <w:tcPr>
            <w:tcW w:w="2913" w:type="dxa"/>
            <w:shd w:val="clear" w:color="auto" w:fill="FFFFFF"/>
            <w:tcMar>
              <w:top w:w="100" w:type="dxa"/>
              <w:left w:w="120" w:type="dxa"/>
              <w:bottom w:w="100" w:type="dxa"/>
              <w:right w:w="120" w:type="dxa"/>
            </w:tcMar>
            <w:vAlign w:val="center"/>
          </w:tcPr>
          <w:p w14:paraId="2CD4484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72,745</w:t>
            </w:r>
          </w:p>
        </w:tc>
        <w:tc>
          <w:tcPr>
            <w:tcW w:w="2913" w:type="dxa"/>
            <w:shd w:val="clear" w:color="auto" w:fill="FFFFFF"/>
            <w:tcMar>
              <w:top w:w="100" w:type="dxa"/>
              <w:left w:w="120" w:type="dxa"/>
              <w:bottom w:w="100" w:type="dxa"/>
              <w:right w:w="120" w:type="dxa"/>
            </w:tcMar>
            <w:vAlign w:val="center"/>
          </w:tcPr>
          <w:p w14:paraId="66E6345E"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91,109</w:t>
            </w:r>
          </w:p>
        </w:tc>
      </w:tr>
      <w:tr w:rsidR="00C83590" w:rsidRPr="00ED1409" w14:paraId="3CAD3BC1"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03442CC9"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Average Products Held</w:t>
            </w:r>
          </w:p>
        </w:tc>
        <w:tc>
          <w:tcPr>
            <w:tcW w:w="2913" w:type="dxa"/>
            <w:shd w:val="clear" w:color="auto" w:fill="F2F3F5"/>
            <w:tcMar>
              <w:top w:w="100" w:type="dxa"/>
              <w:left w:w="120" w:type="dxa"/>
              <w:bottom w:w="100" w:type="dxa"/>
              <w:right w:w="120" w:type="dxa"/>
            </w:tcMar>
            <w:vAlign w:val="center"/>
          </w:tcPr>
          <w:p w14:paraId="6976DA0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1.54</w:t>
            </w:r>
          </w:p>
        </w:tc>
        <w:tc>
          <w:tcPr>
            <w:tcW w:w="2913" w:type="dxa"/>
            <w:shd w:val="clear" w:color="auto" w:fill="F2F3F5"/>
            <w:tcMar>
              <w:top w:w="100" w:type="dxa"/>
              <w:left w:w="120" w:type="dxa"/>
              <w:bottom w:w="100" w:type="dxa"/>
              <w:right w:w="120" w:type="dxa"/>
            </w:tcMar>
            <w:vAlign w:val="center"/>
          </w:tcPr>
          <w:p w14:paraId="0F975BE6"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1.48</w:t>
            </w:r>
          </w:p>
        </w:tc>
      </w:tr>
      <w:tr w:rsidR="00C83590" w:rsidRPr="00ED1409" w14:paraId="798D40B6"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5CDA339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Count</w:t>
            </w:r>
          </w:p>
        </w:tc>
        <w:tc>
          <w:tcPr>
            <w:tcW w:w="2913" w:type="dxa"/>
            <w:shd w:val="clear" w:color="auto" w:fill="FFFFFF"/>
            <w:tcMar>
              <w:top w:w="100" w:type="dxa"/>
              <w:left w:w="120" w:type="dxa"/>
              <w:bottom w:w="100" w:type="dxa"/>
              <w:right w:w="120" w:type="dxa"/>
            </w:tcMar>
            <w:vAlign w:val="center"/>
          </w:tcPr>
          <w:p w14:paraId="39FA88A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7,963</w:t>
            </w:r>
          </w:p>
        </w:tc>
        <w:tc>
          <w:tcPr>
            <w:tcW w:w="2913" w:type="dxa"/>
            <w:shd w:val="clear" w:color="auto" w:fill="FFFFFF"/>
            <w:tcMar>
              <w:top w:w="100" w:type="dxa"/>
              <w:left w:w="120" w:type="dxa"/>
              <w:bottom w:w="100" w:type="dxa"/>
              <w:right w:w="120" w:type="dxa"/>
            </w:tcMar>
            <w:vAlign w:val="center"/>
          </w:tcPr>
          <w:p w14:paraId="5B58D26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2,037</w:t>
            </w:r>
          </w:p>
        </w:tc>
      </w:tr>
    </w:tbl>
    <w:p w14:paraId="3AF89142" w14:textId="77777777" w:rsidR="00C83590" w:rsidRPr="00ED1409" w:rsidRDefault="00C83590">
      <w:pPr>
        <w:spacing w:after="240"/>
        <w:rPr>
          <w:rFonts w:ascii="Times New Roman" w:hAnsi="Times New Roman" w:cs="Times New Roman"/>
        </w:rPr>
      </w:pPr>
    </w:p>
    <w:p w14:paraId="6CE976A7" w14:textId="77777777" w:rsidR="00C83590" w:rsidRPr="00ED1409" w:rsidRDefault="009F5187">
      <w:pPr>
        <w:pStyle w:val="Heading2"/>
        <w:spacing w:before="320" w:after="160"/>
        <w:rPr>
          <w:rFonts w:ascii="Times New Roman" w:hAnsi="Times New Roman" w:cs="Times New Roman"/>
        </w:rPr>
      </w:pPr>
      <w:bookmarkStart w:id="36" w:name="_Toc235001512"/>
      <w:r w:rsidRPr="00ED1409">
        <w:rPr>
          <w:rFonts w:ascii="Times New Roman" w:hAnsi="Times New Roman" w:cs="Times New Roman"/>
          <w:b/>
          <w:bCs/>
          <w:color w:val="1E8A8A"/>
        </w:rPr>
        <w:t>Churn Rate by Age Band (Full Detail)</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13"/>
        <w:gridCol w:w="2913"/>
      </w:tblGrid>
      <w:tr w:rsidR="00C83590" w:rsidRPr="00ED1409" w14:paraId="66C386A0" w14:textId="77777777">
        <w:tblPrEx>
          <w:tblCellMar>
            <w:top w:w="0" w:type="dxa"/>
            <w:bottom w:w="0" w:type="dxa"/>
          </w:tblCellMar>
        </w:tblPrEx>
        <w:trPr>
          <w:tblHeader/>
        </w:trPr>
        <w:tc>
          <w:tcPr>
            <w:tcW w:w="3200" w:type="dxa"/>
            <w:shd w:val="clear" w:color="auto" w:fill="1B2A4A"/>
            <w:tcMar>
              <w:top w:w="100" w:type="dxa"/>
              <w:left w:w="120" w:type="dxa"/>
              <w:bottom w:w="100" w:type="dxa"/>
              <w:right w:w="120" w:type="dxa"/>
            </w:tcMar>
            <w:vAlign w:val="center"/>
          </w:tcPr>
          <w:p w14:paraId="5379D12A"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Age Band</w:t>
            </w:r>
          </w:p>
        </w:tc>
        <w:tc>
          <w:tcPr>
            <w:tcW w:w="2913" w:type="dxa"/>
            <w:shd w:val="clear" w:color="auto" w:fill="1B2A4A"/>
            <w:tcMar>
              <w:top w:w="100" w:type="dxa"/>
              <w:left w:w="120" w:type="dxa"/>
              <w:bottom w:w="100" w:type="dxa"/>
              <w:right w:w="120" w:type="dxa"/>
            </w:tcMar>
            <w:vAlign w:val="center"/>
          </w:tcPr>
          <w:p w14:paraId="035A12B3"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Customers</w:t>
            </w:r>
          </w:p>
        </w:tc>
        <w:tc>
          <w:tcPr>
            <w:tcW w:w="2913" w:type="dxa"/>
            <w:shd w:val="clear" w:color="auto" w:fill="1B2A4A"/>
            <w:tcMar>
              <w:top w:w="100" w:type="dxa"/>
              <w:left w:w="120" w:type="dxa"/>
              <w:bottom w:w="100" w:type="dxa"/>
              <w:right w:w="120" w:type="dxa"/>
            </w:tcMar>
            <w:vAlign w:val="center"/>
          </w:tcPr>
          <w:p w14:paraId="318C19B8" w14:textId="77777777" w:rsidR="00C83590" w:rsidRPr="00ED1409" w:rsidRDefault="009F5187">
            <w:pPr>
              <w:rPr>
                <w:rFonts w:ascii="Times New Roman" w:hAnsi="Times New Roman" w:cs="Times New Roman"/>
              </w:rPr>
            </w:pPr>
            <w:r w:rsidRPr="00ED1409">
              <w:rPr>
                <w:rFonts w:ascii="Times New Roman" w:hAnsi="Times New Roman" w:cs="Times New Roman"/>
                <w:b/>
                <w:bCs/>
                <w:color w:val="FFFFFF"/>
                <w:sz w:val="19"/>
                <w:szCs w:val="19"/>
              </w:rPr>
              <w:t>Churn Rate</w:t>
            </w:r>
          </w:p>
        </w:tc>
      </w:tr>
      <w:tr w:rsidR="00C83590" w:rsidRPr="00ED1409" w14:paraId="59F8FDDE"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76109FB5"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18–29</w:t>
            </w:r>
          </w:p>
        </w:tc>
        <w:tc>
          <w:tcPr>
            <w:tcW w:w="2913" w:type="dxa"/>
            <w:shd w:val="clear" w:color="auto" w:fill="FFFFFF"/>
            <w:tcMar>
              <w:top w:w="100" w:type="dxa"/>
              <w:left w:w="120" w:type="dxa"/>
              <w:bottom w:w="100" w:type="dxa"/>
              <w:right w:w="120" w:type="dxa"/>
            </w:tcMar>
            <w:vAlign w:val="center"/>
          </w:tcPr>
          <w:p w14:paraId="76CBDF0F"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1,641</w:t>
            </w:r>
          </w:p>
        </w:tc>
        <w:tc>
          <w:tcPr>
            <w:tcW w:w="2913" w:type="dxa"/>
            <w:shd w:val="clear" w:color="auto" w:fill="FFFFFF"/>
            <w:tcMar>
              <w:top w:w="100" w:type="dxa"/>
              <w:left w:w="120" w:type="dxa"/>
              <w:bottom w:w="100" w:type="dxa"/>
              <w:right w:w="120" w:type="dxa"/>
            </w:tcMar>
            <w:vAlign w:val="center"/>
          </w:tcPr>
          <w:p w14:paraId="0639297B"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7.6%</w:t>
            </w:r>
          </w:p>
        </w:tc>
      </w:tr>
      <w:tr w:rsidR="00C83590" w:rsidRPr="00ED1409" w14:paraId="623C546A"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4030119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30–39</w:t>
            </w:r>
          </w:p>
        </w:tc>
        <w:tc>
          <w:tcPr>
            <w:tcW w:w="2913" w:type="dxa"/>
            <w:shd w:val="clear" w:color="auto" w:fill="F2F3F5"/>
            <w:tcMar>
              <w:top w:w="100" w:type="dxa"/>
              <w:left w:w="120" w:type="dxa"/>
              <w:bottom w:w="100" w:type="dxa"/>
              <w:right w:w="120" w:type="dxa"/>
            </w:tcMar>
            <w:vAlign w:val="center"/>
          </w:tcPr>
          <w:p w14:paraId="0F2026A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4,346</w:t>
            </w:r>
          </w:p>
        </w:tc>
        <w:tc>
          <w:tcPr>
            <w:tcW w:w="2913" w:type="dxa"/>
            <w:shd w:val="clear" w:color="auto" w:fill="F2F3F5"/>
            <w:tcMar>
              <w:top w:w="100" w:type="dxa"/>
              <w:left w:w="120" w:type="dxa"/>
              <w:bottom w:w="100" w:type="dxa"/>
              <w:right w:w="120" w:type="dxa"/>
            </w:tcMar>
            <w:vAlign w:val="center"/>
          </w:tcPr>
          <w:p w14:paraId="5F768E42"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10.9%</w:t>
            </w:r>
          </w:p>
        </w:tc>
      </w:tr>
      <w:tr w:rsidR="00C83590" w:rsidRPr="00ED1409" w14:paraId="48F48E47"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3F7F4990"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40–49</w:t>
            </w:r>
          </w:p>
        </w:tc>
        <w:tc>
          <w:tcPr>
            <w:tcW w:w="2913" w:type="dxa"/>
            <w:shd w:val="clear" w:color="auto" w:fill="FFFFFF"/>
            <w:tcMar>
              <w:top w:w="100" w:type="dxa"/>
              <w:left w:w="120" w:type="dxa"/>
              <w:bottom w:w="100" w:type="dxa"/>
              <w:right w:w="120" w:type="dxa"/>
            </w:tcMar>
            <w:vAlign w:val="center"/>
          </w:tcPr>
          <w:p w14:paraId="1135F81A"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2,618</w:t>
            </w:r>
          </w:p>
        </w:tc>
        <w:tc>
          <w:tcPr>
            <w:tcW w:w="2913" w:type="dxa"/>
            <w:shd w:val="clear" w:color="auto" w:fill="FFFFFF"/>
            <w:tcMar>
              <w:top w:w="100" w:type="dxa"/>
              <w:left w:w="120" w:type="dxa"/>
              <w:bottom w:w="100" w:type="dxa"/>
              <w:right w:w="120" w:type="dxa"/>
            </w:tcMar>
            <w:vAlign w:val="center"/>
          </w:tcPr>
          <w:p w14:paraId="5E7BA84E"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30.8%</w:t>
            </w:r>
          </w:p>
        </w:tc>
      </w:tr>
      <w:tr w:rsidR="00C83590" w:rsidRPr="00ED1409" w14:paraId="5244013F" w14:textId="77777777">
        <w:tblPrEx>
          <w:tblCellMar>
            <w:top w:w="0" w:type="dxa"/>
            <w:bottom w:w="0" w:type="dxa"/>
          </w:tblCellMar>
        </w:tblPrEx>
        <w:tc>
          <w:tcPr>
            <w:tcW w:w="3200" w:type="dxa"/>
            <w:shd w:val="clear" w:color="auto" w:fill="F2F3F5"/>
            <w:tcMar>
              <w:top w:w="100" w:type="dxa"/>
              <w:left w:w="120" w:type="dxa"/>
              <w:bottom w:w="100" w:type="dxa"/>
              <w:right w:w="120" w:type="dxa"/>
            </w:tcMar>
            <w:vAlign w:val="center"/>
          </w:tcPr>
          <w:p w14:paraId="690320BE"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50–59</w:t>
            </w:r>
          </w:p>
        </w:tc>
        <w:tc>
          <w:tcPr>
            <w:tcW w:w="2913" w:type="dxa"/>
            <w:shd w:val="clear" w:color="auto" w:fill="F2F3F5"/>
            <w:tcMar>
              <w:top w:w="100" w:type="dxa"/>
              <w:left w:w="120" w:type="dxa"/>
              <w:bottom w:w="100" w:type="dxa"/>
              <w:right w:w="120" w:type="dxa"/>
            </w:tcMar>
            <w:vAlign w:val="center"/>
          </w:tcPr>
          <w:p w14:paraId="380C08E4"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869</w:t>
            </w:r>
          </w:p>
        </w:tc>
        <w:tc>
          <w:tcPr>
            <w:tcW w:w="2913" w:type="dxa"/>
            <w:shd w:val="clear" w:color="auto" w:fill="F2F3F5"/>
            <w:tcMar>
              <w:top w:w="100" w:type="dxa"/>
              <w:left w:w="120" w:type="dxa"/>
              <w:bottom w:w="100" w:type="dxa"/>
              <w:right w:w="120" w:type="dxa"/>
            </w:tcMar>
            <w:vAlign w:val="center"/>
          </w:tcPr>
          <w:p w14:paraId="40BDF3EF"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56.0%</w:t>
            </w:r>
          </w:p>
        </w:tc>
      </w:tr>
      <w:tr w:rsidR="00C83590" w:rsidRPr="00ED1409" w14:paraId="7CF6FD3C" w14:textId="7777777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14:paraId="15F0BD8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60+</w:t>
            </w:r>
          </w:p>
        </w:tc>
        <w:tc>
          <w:tcPr>
            <w:tcW w:w="2913" w:type="dxa"/>
            <w:shd w:val="clear" w:color="auto" w:fill="FFFFFF"/>
            <w:tcMar>
              <w:top w:w="100" w:type="dxa"/>
              <w:left w:w="120" w:type="dxa"/>
              <w:bottom w:w="100" w:type="dxa"/>
              <w:right w:w="120" w:type="dxa"/>
            </w:tcMar>
            <w:vAlign w:val="center"/>
          </w:tcPr>
          <w:p w14:paraId="4FA3D69C"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526</w:t>
            </w:r>
          </w:p>
        </w:tc>
        <w:tc>
          <w:tcPr>
            <w:tcW w:w="2913" w:type="dxa"/>
            <w:shd w:val="clear" w:color="auto" w:fill="FFFFFF"/>
            <w:tcMar>
              <w:top w:w="100" w:type="dxa"/>
              <w:left w:w="120" w:type="dxa"/>
              <w:bottom w:w="100" w:type="dxa"/>
              <w:right w:w="120" w:type="dxa"/>
            </w:tcMar>
            <w:vAlign w:val="center"/>
          </w:tcPr>
          <w:p w14:paraId="5B6CEE18" w14:textId="77777777" w:rsidR="00C83590" w:rsidRPr="00ED1409" w:rsidRDefault="009F5187">
            <w:pPr>
              <w:rPr>
                <w:rFonts w:ascii="Times New Roman" w:hAnsi="Times New Roman" w:cs="Times New Roman"/>
              </w:rPr>
            </w:pPr>
            <w:r w:rsidRPr="00ED1409">
              <w:rPr>
                <w:rFonts w:ascii="Times New Roman" w:hAnsi="Times New Roman" w:cs="Times New Roman"/>
                <w:color w:val="222222"/>
                <w:sz w:val="19"/>
                <w:szCs w:val="19"/>
              </w:rPr>
              <w:t>27.9%</w:t>
            </w:r>
          </w:p>
        </w:tc>
      </w:tr>
    </w:tbl>
    <w:p w14:paraId="2A5DE3EE" w14:textId="77777777" w:rsidR="00C83590" w:rsidRPr="00ED1409" w:rsidRDefault="00C83590">
      <w:pPr>
        <w:spacing w:after="200"/>
        <w:rPr>
          <w:rFonts w:ascii="Times New Roman" w:hAnsi="Times New Roman" w:cs="Times New Roman"/>
        </w:rPr>
      </w:pPr>
    </w:p>
    <w:p w14:paraId="6EFDE21F" w14:textId="77777777" w:rsidR="00C83590" w:rsidRDefault="009F5187">
      <w:pPr>
        <w:spacing w:after="160" w:line="288" w:lineRule="auto"/>
        <w:jc w:val="both"/>
      </w:pPr>
      <w:r w:rsidRPr="00ED1409">
        <w:rPr>
          <w:rFonts w:ascii="Times New Roman" w:hAnsi="Times New Roman" w:cs="Times New Roman"/>
          <w:i/>
          <w:iCs/>
          <w:color w:val="6B7280"/>
        </w:rPr>
        <w:t xml:space="preserve">Data source: European_Bank.csv (10,000 records, single extract, no missing values). All figures in this paper are computed directly from the full dataset; no sampling, weighting, or predictive </w:t>
      </w:r>
      <w:proofErr w:type="spellStart"/>
      <w:r w:rsidRPr="00ED1409">
        <w:rPr>
          <w:rFonts w:ascii="Times New Roman" w:hAnsi="Times New Roman" w:cs="Times New Roman"/>
          <w:i/>
          <w:iCs/>
          <w:color w:val="6B7280"/>
        </w:rPr>
        <w:t>modeling</w:t>
      </w:r>
      <w:proofErr w:type="spellEnd"/>
      <w:r w:rsidRPr="00ED1409">
        <w:rPr>
          <w:rFonts w:ascii="Times New Roman" w:hAnsi="Times New Roman" w:cs="Times New Roman"/>
          <w:i/>
          <w:iCs/>
          <w:color w:val="6B7280"/>
        </w:rPr>
        <w:t xml:space="preserve"> was applied — all reported percentages are observed conditional churn rates within the</w:t>
      </w:r>
      <w:r>
        <w:rPr>
          <w:i/>
          <w:iCs/>
          <w:color w:val="6B7280"/>
        </w:rPr>
        <w:t xml:space="preserve"> stated subgroup.</w:t>
      </w:r>
    </w:p>
    <w:sectPr w:rsidR="00C83590">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3F042" w14:textId="77777777" w:rsidR="009F5187" w:rsidRDefault="009F5187">
      <w:r>
        <w:separator/>
      </w:r>
    </w:p>
  </w:endnote>
  <w:endnote w:type="continuationSeparator" w:id="0">
    <w:p w14:paraId="7B6D3167" w14:textId="77777777" w:rsidR="009F5187" w:rsidRDefault="009F5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365A" w14:textId="77777777" w:rsidR="00C83590" w:rsidRDefault="009F5187">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8F547A">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8F547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93FF8" w14:textId="77777777" w:rsidR="009F5187" w:rsidRDefault="009F5187">
      <w:r>
        <w:separator/>
      </w:r>
    </w:p>
  </w:footnote>
  <w:footnote w:type="continuationSeparator" w:id="0">
    <w:p w14:paraId="214F0540" w14:textId="77777777" w:rsidR="009F5187" w:rsidRDefault="009F5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0E65" w14:textId="77777777" w:rsidR="00C83590" w:rsidRDefault="009F5187">
    <w:pPr>
      <w:pBdr>
        <w:bottom w:val="single" w:sz="4" w:space="4" w:color="CCCCCC"/>
      </w:pBdr>
      <w:tabs>
        <w:tab w:val="right" w:pos="9026"/>
      </w:tabs>
    </w:pPr>
    <w:r>
      <w:rPr>
        <w:color w:val="6B7280"/>
        <w:sz w:val="16"/>
        <w:szCs w:val="16"/>
      </w:rPr>
      <w:t>Customer Engagement &amp; Product Utilization Analytics</w:t>
    </w:r>
    <w:r>
      <w:rPr>
        <w:color w:val="6B7280"/>
        <w:sz w:val="16"/>
        <w:szCs w:val="16"/>
      </w:rPr>
      <w:tab/>
    </w:r>
    <w:proofErr w:type="gramStart"/>
    <w:r>
      <w:rPr>
        <w:color w:val="6B7280"/>
        <w:sz w:val="16"/>
        <w:szCs w:val="16"/>
      </w:rPr>
      <w:t>The</w:t>
    </w:r>
    <w:proofErr w:type="gramEnd"/>
    <w:r>
      <w:rPr>
        <w:color w:val="6B7280"/>
        <w:sz w:val="16"/>
        <w:szCs w:val="16"/>
      </w:rPr>
      <w:t xml:space="preserve"> European Central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D10BFD"/>
    <w:multiLevelType w:val="hybridMultilevel"/>
    <w:tmpl w:val="EF2C1FFE"/>
    <w:lvl w:ilvl="0" w:tplc="A9E087AC">
      <w:start w:val="1"/>
      <w:numFmt w:val="bullet"/>
      <w:lvlText w:val="●"/>
      <w:lvlJc w:val="left"/>
      <w:pPr>
        <w:ind w:left="720" w:hanging="360"/>
      </w:pPr>
    </w:lvl>
    <w:lvl w:ilvl="1" w:tplc="4E3A6B9C">
      <w:start w:val="1"/>
      <w:numFmt w:val="bullet"/>
      <w:lvlText w:val="○"/>
      <w:lvlJc w:val="left"/>
      <w:pPr>
        <w:ind w:left="1440" w:hanging="360"/>
      </w:pPr>
    </w:lvl>
    <w:lvl w:ilvl="2" w:tplc="DEC02CB8">
      <w:start w:val="1"/>
      <w:numFmt w:val="bullet"/>
      <w:lvlText w:val="■"/>
      <w:lvlJc w:val="left"/>
      <w:pPr>
        <w:ind w:left="2160" w:hanging="360"/>
      </w:pPr>
    </w:lvl>
    <w:lvl w:ilvl="3" w:tplc="DB2E03AE">
      <w:start w:val="1"/>
      <w:numFmt w:val="bullet"/>
      <w:lvlText w:val="●"/>
      <w:lvlJc w:val="left"/>
      <w:pPr>
        <w:ind w:left="2880" w:hanging="360"/>
      </w:pPr>
    </w:lvl>
    <w:lvl w:ilvl="4" w:tplc="A602211C">
      <w:start w:val="1"/>
      <w:numFmt w:val="bullet"/>
      <w:lvlText w:val="○"/>
      <w:lvlJc w:val="left"/>
      <w:pPr>
        <w:ind w:left="3600" w:hanging="360"/>
      </w:pPr>
    </w:lvl>
    <w:lvl w:ilvl="5" w:tplc="74D20444">
      <w:start w:val="1"/>
      <w:numFmt w:val="bullet"/>
      <w:lvlText w:val="■"/>
      <w:lvlJc w:val="left"/>
      <w:pPr>
        <w:ind w:left="4320" w:hanging="360"/>
      </w:pPr>
    </w:lvl>
    <w:lvl w:ilvl="6" w:tplc="E52C556E">
      <w:start w:val="1"/>
      <w:numFmt w:val="bullet"/>
      <w:lvlText w:val="●"/>
      <w:lvlJc w:val="left"/>
      <w:pPr>
        <w:ind w:left="5040" w:hanging="360"/>
      </w:pPr>
    </w:lvl>
    <w:lvl w:ilvl="7" w:tplc="B1B88DD6">
      <w:start w:val="1"/>
      <w:numFmt w:val="bullet"/>
      <w:lvlText w:val="●"/>
      <w:lvlJc w:val="left"/>
      <w:pPr>
        <w:ind w:left="5760" w:hanging="360"/>
      </w:pPr>
    </w:lvl>
    <w:lvl w:ilvl="8" w:tplc="AFA62124">
      <w:start w:val="1"/>
      <w:numFmt w:val="bullet"/>
      <w:lvlText w:val="●"/>
      <w:lvlJc w:val="left"/>
      <w:pPr>
        <w:ind w:left="6480" w:hanging="360"/>
      </w:pPr>
    </w:lvl>
  </w:abstractNum>
  <w:abstractNum w:abstractNumId="1" w15:restartNumberingAfterBreak="0">
    <w:nsid w:val="7085710C"/>
    <w:multiLevelType w:val="hybridMultilevel"/>
    <w:tmpl w:val="38743228"/>
    <w:lvl w:ilvl="0" w:tplc="89982F8E">
      <w:start w:val="1"/>
      <w:numFmt w:val="bullet"/>
      <w:lvlText w:val="•"/>
      <w:lvlJc w:val="left"/>
      <w:pPr>
        <w:ind w:left="460" w:hanging="260"/>
      </w:pPr>
    </w:lvl>
    <w:lvl w:ilvl="1" w:tplc="B984AC18">
      <w:numFmt w:val="decimal"/>
      <w:lvlText w:val=""/>
      <w:lvlJc w:val="left"/>
    </w:lvl>
    <w:lvl w:ilvl="2" w:tplc="A7E8FF64">
      <w:numFmt w:val="decimal"/>
      <w:lvlText w:val=""/>
      <w:lvlJc w:val="left"/>
    </w:lvl>
    <w:lvl w:ilvl="3" w:tplc="46E08B4C">
      <w:numFmt w:val="decimal"/>
      <w:lvlText w:val=""/>
      <w:lvlJc w:val="left"/>
    </w:lvl>
    <w:lvl w:ilvl="4" w:tplc="82849220">
      <w:numFmt w:val="decimal"/>
      <w:lvlText w:val=""/>
      <w:lvlJc w:val="left"/>
    </w:lvl>
    <w:lvl w:ilvl="5" w:tplc="5CD243B4">
      <w:numFmt w:val="decimal"/>
      <w:lvlText w:val=""/>
      <w:lvlJc w:val="left"/>
    </w:lvl>
    <w:lvl w:ilvl="6" w:tplc="E4A04BBA">
      <w:numFmt w:val="decimal"/>
      <w:lvlText w:val=""/>
      <w:lvlJc w:val="left"/>
    </w:lvl>
    <w:lvl w:ilvl="7" w:tplc="839A53FC">
      <w:numFmt w:val="decimal"/>
      <w:lvlText w:val=""/>
      <w:lvlJc w:val="left"/>
    </w:lvl>
    <w:lvl w:ilvl="8" w:tplc="5824D7F0">
      <w:numFmt w:val="decimal"/>
      <w:lvlText w:val=""/>
      <w:lvlJc w:val="left"/>
    </w:lvl>
  </w:abstractNum>
  <w:num w:numId="1" w16cid:durableId="1305358277">
    <w:abstractNumId w:val="0"/>
    <w:lvlOverride w:ilvl="0">
      <w:startOverride w:val="1"/>
    </w:lvlOverride>
  </w:num>
  <w:num w:numId="2" w16cid:durableId="1185292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90"/>
    <w:rsid w:val="008F547A"/>
    <w:rsid w:val="009F5187"/>
    <w:rsid w:val="00C83590"/>
    <w:rsid w:val="00D71FA7"/>
    <w:rsid w:val="00ED1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940C"/>
  <w15:docId w15:val="{BBFE0843-99CA-436E-B7F7-E5F0DA1F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547A"/>
    <w:pPr>
      <w:spacing w:after="100"/>
    </w:pPr>
  </w:style>
  <w:style w:type="paragraph" w:styleId="TOC2">
    <w:name w:val="toc 2"/>
    <w:basedOn w:val="Normal"/>
    <w:next w:val="Normal"/>
    <w:autoRedefine/>
    <w:uiPriority w:val="39"/>
    <w:unhideWhenUsed/>
    <w:rsid w:val="008F54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4039</Words>
  <Characters>23023</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neha sarawgi</cp:lastModifiedBy>
  <cp:revision>2</cp:revision>
  <dcterms:created xsi:type="dcterms:W3CDTF">2026-07-15T04:46:00Z</dcterms:created>
  <dcterms:modified xsi:type="dcterms:W3CDTF">2026-07-15T04:46:00Z</dcterms:modified>
</cp:coreProperties>
</file>