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Header</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Company</w:t>
      </w:r>
    </w:p>
    <w:p>
      <w:pPr>
        <w:spacing w:after="120" w:before="80"/>
      </w:pPr>
      <w:r>
        <w:rPr>
          <w:rFonts w:ascii="Arial" w:cs="Arial" w:eastAsia="Arial" w:hAnsi="Arial"/>
          <w:b w:val="false"/>
          <w:bCs w:val="false"/>
          <w:color w:val="2C2C2C"/>
          <w:sz w:val="20"/>
          <w:szCs w:val="20"/>
        </w:rPr>
        <w:t xml:space="preserve">Cars on the Roads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Document Title</w:t>
      </w:r>
    </w:p>
    <w:p>
      <w:pPr>
        <w:spacing w:after="120" w:before="80"/>
      </w:pPr>
      <w:r>
        <w:rPr>
          <w:rFonts w:ascii="Arial" w:cs="Arial" w:eastAsia="Arial" w:hAnsi="Arial"/>
          <w:b w:val="false"/>
          <w:bCs w:val="false"/>
          <w:color w:val="2C2C2C"/>
          <w:sz w:val="20"/>
          <w:szCs w:val="20"/>
        </w:rPr>
        <w:t xml:space="preserve">Strategic Vision for Transportation Revolution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Subtitle</w:t>
      </w:r>
    </w:p>
    <w:p>
      <w:pPr>
        <w:spacing w:after="120" w:before="80"/>
      </w:pPr>
      <w:r>
        <w:rPr>
          <w:rFonts w:ascii="Arial" w:cs="Arial" w:eastAsia="Arial" w:hAnsi="Arial"/>
          <w:b w:val="false"/>
          <w:bCs w:val="false"/>
          <w:color w:val="2C2C2C"/>
          <w:sz w:val="20"/>
          <w:szCs w:val="20"/>
        </w:rPr>
        <w:t xml:space="preserve">Internal Strategic Alignment Document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Date</w:t>
      </w:r>
    </w:p>
    <w:p>
      <w:pPr>
        <w:spacing w:after="120" w:before="80"/>
      </w:pPr>
      <w:r>
        <w:rPr>
          <w:rFonts w:ascii="Arial" w:cs="Arial" w:eastAsia="Arial" w:hAnsi="Arial"/>
          <w:b w:val="false"/>
          <w:bCs w:val="false"/>
          <w:color w:val="2C2C2C"/>
          <w:sz w:val="20"/>
          <w:szCs w:val="20"/>
        </w:rPr>
        <w:t xml:space="preserve">January 15, 2025</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Version</w:t>
      </w:r>
    </w:p>
    <w:p>
      <w:pPr>
        <w:spacing w:after="120" w:before="80"/>
      </w:pPr>
      <w:r>
        <w:rPr>
          <w:rFonts w:ascii="Arial" w:cs="Arial" w:eastAsia="Arial" w:hAnsi="Arial"/>
          <w:b w:val="false"/>
          <w:bCs w:val="false"/>
          <w:color w:val="2C2C2C"/>
          <w:sz w:val="20"/>
          <w:szCs w:val="20"/>
        </w:rPr>
        <w:t xml:space="preserve">2.1</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Classification</w:t>
      </w:r>
    </w:p>
    <w:p>
      <w:pPr>
        <w:spacing w:after="120" w:before="80"/>
      </w:pPr>
      <w:r>
        <w:rPr>
          <w:rFonts w:ascii="Arial" w:cs="Arial" w:eastAsia="Arial" w:hAnsi="Arial"/>
          <w:b w:val="false"/>
          <w:bCs w:val="false"/>
          <w:color w:val="2C2C2C"/>
          <w:sz w:val="20"/>
          <w:szCs w:val="20"/>
        </w:rPr>
        <w:t xml:space="preserve">Internal Use Only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Executive Summary</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Strategic Overview</w:t>
      </w:r>
    </w:p>
    <w:p>
      <w:pPr>
        <w:spacing w:after="120" w:before="80"/>
      </w:pPr>
      <w:r>
        <w:rPr>
          <w:rFonts w:ascii="Arial" w:cs="Arial" w:eastAsia="Arial" w:hAnsi="Arial"/>
          <w:b w:val="false"/>
          <w:bCs w:val="false"/>
          <w:color w:val="2C2C2C"/>
          <w:sz w:val="20"/>
          <w:szCs w:val="20"/>
        </w:rPr>
        <w:t xml:space="preserve">&lt;p&gt;Cars on the Roads stands at the forefront of a transportation revolution, driven by our unwavering commitment to &lt;strong&gt;innovation and sustainability&lt;/strong&gt;. This strategic vision document outlines our comprehensive approach to transforming the global transportation landscape over the next 8 weeks and beyond. Our organization has identified four critical strategic pillars that will guide our efforts: Innovation Excellence, Sustainability Leadership, Market Expansion, and Customer Experience Enhancement.&lt;/p&gt;&lt;p&gt;The transportation industry is experiencing unprecedented disruption, with emerging technologies, changing consumer preferences, and regulatory pressures creating both challenges and opportunities. Our strategic response positions us not merely as participants in this transformation, but as &lt;em&gt;leaders who will define the future of mobility&lt;/em&gt;.&lt;/p&gt;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Key Objectives</w:t>
      </w:r>
    </w:p>
    <w:p>
      <w:pPr>
        <w:spacing w:after="120" w:before="80"/>
      </w:pPr>
      <w:r>
        <w:rPr>
          <w:rFonts w:ascii="Arial" w:cs="Arial" w:eastAsia="Arial" w:hAnsi="Arial"/>
          <w:b w:val="false"/>
          <w:bCs w:val="false"/>
          <w:color w:val="2C2C2C"/>
          <w:sz w:val="20"/>
          <w:szCs w:val="20"/>
        </w:rPr>
        <w:t xml:space="preserve">&lt;p&gt;Our primary objectives center around three core areas:&lt;/p&gt;&lt;ul&gt;&lt;li&gt;&lt;strong&gt;Market Leadership:&lt;/strong&gt; Establish Cars on the Roads as the premier innovator in sustainable transportation solutions&lt;/li&gt;&lt;li&gt;&lt;strong&gt;Operational Excellence:&lt;/strong&gt; Achieve 99.5% customer satisfaction while maintaining 15% year-over-year growth&lt;/li&gt;&lt;li&gt;&lt;strong&gt;Sustainable Impact:&lt;/strong&gt; Reduce transportation-related carbon emissions by 40% through our innovative solutions&lt;/li&gt;&lt;li&gt;&lt;strong&gt;Technology Integration:&lt;/strong&gt; Deploy cutting-edge AI and IoT technologies across our entire service ecosystem&lt;/li&gt;&lt;li&gt;&lt;strong&gt;Partnership Development:&lt;/strong&gt; Forge strategic alliances with 25+ industry leaders and technology partners&lt;/li&gt;&lt;li&gt;&lt;strong&gt;Workforce Enhancement:&lt;/strong&gt; Build a world-class team of 500+ professionals specialized in sustainable transportation&lt;/li&gt;&lt;/ul&gt;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Success Metrics</w:t>
      </w:r>
    </w:p>
    <w:p>
      <w:pPr>
        <w:spacing w:after="120" w:before="80"/>
      </w:pPr>
      <w:r>
        <w:rPr>
          <w:rFonts w:ascii="Arial" w:cs="Arial" w:eastAsia="Arial" w:hAnsi="Arial"/>
          <w:b w:val="false"/>
          <w:bCs w:val="false"/>
          <w:color w:val="2C2C2C"/>
          <w:sz w:val="20"/>
          <w:szCs w:val="20"/>
        </w:rPr>
        <w:t xml:space="preserve">&lt;p&gt;Success will be measured through comprehensive Key Performance Indicators (KPIs) that align with our strategic vision:&lt;/p&gt;&lt;ul&gt;&lt;li&gt;&lt;strong&gt;Revenue Growth:&lt;/strong&gt; Target $50M ARR within 12 months&lt;/li&gt;&lt;li&gt;&lt;strong&gt;Market Share:&lt;/strong&gt; Capture 8% of the sustainable transportation market in our operating regions&lt;/li&gt;&lt;li&gt;&lt;strong&gt;Customer Retention:&lt;/strong&gt; Maintain 95% customer retention rate with Net Promoter Score above 70&lt;/li&gt;&lt;li&gt;&lt;strong&gt;Environmental Impact:&lt;/strong&gt; Achieve carbon neutrality in our operations and help clients reduce emissions by 2M tons annually&lt;/li&gt;&lt;li&gt;&lt;strong&gt;Innovation Pipeline:&lt;/strong&gt; Launch 6 breakthrough technologies and file 20+ patents&lt;/li&gt;&lt;li&gt;&lt;strong&gt;Employee Satisfaction:&lt;/strong&gt; Maintain 90%+ employee engagement scores and become a top employer in the industry&lt;/li&gt;&lt;/ul&gt;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Vision Mission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Vision Statement</w:t>
      </w:r>
    </w:p>
    <w:p>
      <w:pPr>
        <w:spacing w:after="120" w:before="80"/>
      </w:pPr>
      <w:r>
        <w:rPr>
          <w:rFonts w:ascii="Arial" w:cs="Arial" w:eastAsia="Arial" w:hAnsi="Arial"/>
          <w:b w:val="false"/>
          <w:bCs w:val="false"/>
          <w:color w:val="2C2C2C"/>
          <w:sz w:val="20"/>
          <w:szCs w:val="20"/>
        </w:rPr>
        <w:t xml:space="preserve">&lt;p&gt;&lt;strong&gt;To become the world's leading catalyst for sustainable transportation transformation, creating a future where mobility is clean, intelligent, and accessible to all.&lt;/strong&gt;&lt;/p&gt;&lt;p&gt;We envision a world where every journey contributes to environmental restoration rather than degradation, where transportation systems seamlessly integrate with smart city infrastructure, and where mobility solutions are personalized, efficient, and sustainable. Our vision extends beyond traditional transportation to encompass a comprehensive ecosystem of connected, intelligent, and environmentally responsible mobility solutions.&lt;/p&gt;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Mission Statement</w:t>
      </w:r>
    </w:p>
    <w:p>
      <w:pPr>
        <w:spacing w:after="120" w:before="80"/>
      </w:pPr>
      <w:r>
        <w:rPr>
          <w:rFonts w:ascii="Arial" w:cs="Arial" w:eastAsia="Arial" w:hAnsi="Arial"/>
          <w:b w:val="false"/>
          <w:bCs w:val="false"/>
          <w:color w:val="2C2C2C"/>
          <w:sz w:val="20"/>
          <w:szCs w:val="20"/>
        </w:rPr>
        <w:t xml:space="preserve">&lt;p&gt;&lt;strong&gt;Cars on the Roads revolutionizes transportation through innovative, sustainable solutions that connect communities, protect our planet, and empower individual mobility while driving collective environmental stewardship.&lt;/strong&gt;&lt;/p&gt;&lt;p&gt;We are dedicated to developing and deploying cutting-edge transportation technologies that reduce environmental impact, enhance user experience, and create lasting value for all stakeholders. Our mission encompasses research, development, implementation, and continuous optimization of transportation solutions that serve as catalysts for broader societal transformation toward sustainability.&lt;/p&gt;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Core Values</w:t>
      </w:r>
    </w:p>
    <w:p>
      <w:pPr>
        <w:pStyle w:val="ListParagraph"/>
        <w:numPr>
          <w:ilvl w:val="0"/>
          <w:numId w:val="1"/>
        </w:numPr>
        <w:spacing w:after="60" w:before="60"/>
      </w:pPr>
      <w:r>
        <w:rPr>
          <w:rFonts w:ascii="Arial" w:cs="Arial" w:eastAsia="Arial" w:hAnsi="Arial"/>
          <w:color w:val="2C2C2C"/>
          <w:sz w:val="20"/>
          <w:szCs w:val="20"/>
        </w:rPr>
        <w:t xml:space="preserve">&lt;strong&gt;Innovation First:&lt;/strong&gt; We continuously push the boundaries of what's possible in transportation technology, embracing calculated risks and learning from both successes and failures to drive breakthrough solutions.</w:t>
      </w:r>
    </w:p>
    <w:p>
      <w:pPr>
        <w:pStyle w:val="ListParagraph"/>
        <w:numPr>
          <w:ilvl w:val="0"/>
          <w:numId w:val="1"/>
        </w:numPr>
        <w:spacing w:after="60" w:before="60"/>
      </w:pPr>
      <w:r>
        <w:rPr>
          <w:rFonts w:ascii="Arial" w:cs="Arial" w:eastAsia="Arial" w:hAnsi="Arial"/>
          <w:color w:val="2C2C2C"/>
          <w:sz w:val="20"/>
          <w:szCs w:val="20"/>
        </w:rPr>
        <w:t xml:space="preserve">&lt;strong&gt;Sustainability Always:&lt;/strong&gt; Environmental responsibility is not an afterthought but the foundation of every decision we make, ensuring that our solutions contribute to planetary health and regeneration.</w:t>
      </w:r>
    </w:p>
    <w:p>
      <w:pPr>
        <w:pStyle w:val="ListParagraph"/>
        <w:numPr>
          <w:ilvl w:val="0"/>
          <w:numId w:val="1"/>
        </w:numPr>
        <w:spacing w:after="60" w:before="60"/>
      </w:pPr>
      <w:r>
        <w:rPr>
          <w:rFonts w:ascii="Arial" w:cs="Arial" w:eastAsia="Arial" w:hAnsi="Arial"/>
          <w:color w:val="2C2C2C"/>
          <w:sz w:val="20"/>
          <w:szCs w:val="20"/>
        </w:rPr>
        <w:t xml:space="preserve">&lt;strong&gt;Customer Obsession:&lt;/strong&gt; We place our customers at the center of everything we do, continuously seeking to understand and exceed their evolving needs while anticipating future mobility requirements.</w:t>
      </w:r>
    </w:p>
    <w:p>
      <w:pPr>
        <w:pStyle w:val="ListParagraph"/>
        <w:numPr>
          <w:ilvl w:val="0"/>
          <w:numId w:val="1"/>
        </w:numPr>
        <w:spacing w:after="60" w:before="60"/>
      </w:pPr>
      <w:r>
        <w:rPr>
          <w:rFonts w:ascii="Arial" w:cs="Arial" w:eastAsia="Arial" w:hAnsi="Arial"/>
          <w:color w:val="2C2C2C"/>
          <w:sz w:val="20"/>
          <w:szCs w:val="20"/>
        </w:rPr>
        <w:t xml:space="preserve">&lt;strong&gt;Collaborative Excellence:&lt;/strong&gt; We believe that the most impactful solutions emerge from diverse perspectives and strong partnerships, both within our organization and with external stakeholders.</w:t>
      </w:r>
    </w:p>
    <w:p>
      <w:pPr>
        <w:pStyle w:val="ListParagraph"/>
        <w:numPr>
          <w:ilvl w:val="0"/>
          <w:numId w:val="1"/>
        </w:numPr>
        <w:spacing w:after="60" w:before="60"/>
      </w:pPr>
      <w:r>
        <w:rPr>
          <w:rFonts w:ascii="Arial" w:cs="Arial" w:eastAsia="Arial" w:hAnsi="Arial"/>
          <w:color w:val="2C2C2C"/>
          <w:sz w:val="20"/>
          <w:szCs w:val="20"/>
        </w:rPr>
        <w:t xml:space="preserve">&lt;strong&gt;Integrity &amp; Transparency:&lt;/strong&gt; We operate with the highest ethical standards, maintaining transparency in our communications, operations, and impact reporting to build trust with all stakeholders.</w:t>
      </w:r>
    </w:p>
    <w:p>
      <w:pPr>
        <w:pStyle w:val="ListParagraph"/>
        <w:numPr>
          <w:ilvl w:val="0"/>
          <w:numId w:val="1"/>
        </w:numPr>
        <w:spacing w:after="60" w:before="60"/>
      </w:pPr>
      <w:r>
        <w:rPr>
          <w:rFonts w:ascii="Arial" w:cs="Arial" w:eastAsia="Arial" w:hAnsi="Arial"/>
          <w:color w:val="2C2C2C"/>
          <w:sz w:val="20"/>
          <w:szCs w:val="20"/>
        </w:rPr>
        <w:t xml:space="preserve">&lt;strong&gt;Continuous Learning:&lt;/strong&gt; We foster a culture of curiosity and growth, investing in our team's development and staying at the forefront of industry knowledge and technological advancement.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Strategic Intent</w:t>
      </w:r>
    </w:p>
    <w:p>
      <w:pPr>
        <w:spacing w:after="120" w:before="80"/>
      </w:pPr>
      <w:r>
        <w:rPr>
          <w:rFonts w:ascii="Arial" w:cs="Arial" w:eastAsia="Arial" w:hAnsi="Arial"/>
          <w:b w:val="false"/>
          <w:bCs w:val="false"/>
          <w:color w:val="2C2C2C"/>
          <w:sz w:val="20"/>
          <w:szCs w:val="20"/>
        </w:rPr>
        <w:t xml:space="preserve">&lt;p&gt;Our strategic intent is to fundamentally reshape how society thinks about and engages with transportation. We will achieve this by:&lt;/p&gt;&lt;ul&gt;&lt;li&gt;&lt;strong&gt;Technology Leadership:&lt;/strong&gt; Developing proprietary technologies that set new industry standards for efficiency, sustainability, and user experience&lt;/li&gt;&lt;li&gt;&lt;strong&gt;Market Creation:&lt;/strong&gt; Identifying and creating new market categories that didn't previously exist, rather than simply competing in existing spaces&lt;/li&gt;&lt;li&gt;&lt;strong&gt;Ecosystem Development:&lt;/strong&gt; Building comprehensive platforms that connect various transportation modes, infrastructure, and stakeholders into cohesive, intelligent systems&lt;/li&gt;&lt;li&gt;&lt;strong&gt;Global Expansion:&lt;/strong&gt; Scaling our solutions across diverse geographic markets while adapting to local needs and regulations&lt;/li&gt;&lt;li&gt;&lt;strong&gt;Industry Transformation:&lt;/strong&gt; Serving as a catalyst for industry-wide adoption of sustainable practices and innovative technologies&lt;/li&gt;&lt;li&gt;&lt;strong&gt;Societal Impact:&lt;/strong&gt; Creating measurable positive impacts on urban planning, environmental health, and quality of life in the communities we serve&lt;/li&gt;&lt;/ul&gt;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Current State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Organizational Position</w:t>
      </w:r>
    </w:p>
    <w:p>
      <w:pPr>
        <w:spacing w:after="120" w:before="80"/>
      </w:pPr>
      <w:r>
        <w:rPr>
          <w:rFonts w:ascii="Arial" w:cs="Arial" w:eastAsia="Arial" w:hAnsi="Arial"/>
          <w:b w:val="false"/>
          <w:bCs w:val="false"/>
          <w:color w:val="2C2C2C"/>
          <w:sz w:val="20"/>
          <w:szCs w:val="20"/>
        </w:rPr>
        <w:t xml:space="preserve">&lt;p&gt;Cars on the Roads currently occupies a &lt;strong&gt;strong market position&lt;/strong&gt; with significant growth momentum and technological advantages. Our organization has evolved from a startup focused on electric vehicle solutions to a comprehensive transportation technology company with multiple product lines and service offerings.&lt;/p&gt;&lt;p&gt;Key organizational strengths include:&lt;/p&gt;&lt;ul&gt;&lt;li&gt;&lt;strong&gt;Technology Portfolio:&lt;/strong&gt; Proprietary AI-driven route optimization algorithms, advanced battery management systems, and IoT integration capabilities&lt;/li&gt;&lt;li&gt;&lt;strong&gt;Team Composition:&lt;/strong&gt; 150+ employees across engineering, operations, sales, and sustainability departments with average industry experience of 8 years&lt;/li&gt;&lt;li&gt;&lt;strong&gt;Financial Health:&lt;/strong&gt; $15M in current ARR with 35% quarter-over-quarter growth and 18 months of runway&lt;/li&gt;&lt;li&gt;&lt;strong&gt;Customer Base:&lt;/strong&gt; 2,500+ active customers across urban mobility, logistics, and fleet management sectors&lt;/li&gt;&lt;li&gt;&lt;strong&gt;Geographic Presence:&lt;/strong&gt; Operations in 12 major metropolitan areas with expansion plans for 20 additional markets&lt;/li&gt;&lt;li&gt;&lt;strong&gt;Partnership Network:&lt;/strong&gt; Strategic relationships with 15 technology providers, 8 automotive manufacturers, and 12 city government agencies&lt;/li&gt;&lt;/ul&gt;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Market Presence</w:t>
      </w:r>
    </w:p>
    <w:p>
      <w:pPr>
        <w:spacing w:after="120" w:before="80"/>
      </w:pPr>
      <w:r>
        <w:rPr>
          <w:rFonts w:ascii="Arial" w:cs="Arial" w:eastAsia="Arial" w:hAnsi="Arial"/>
          <w:b w:val="false"/>
          <w:bCs w:val="false"/>
          <w:color w:val="2C2C2C"/>
          <w:sz w:val="20"/>
          <w:szCs w:val="20"/>
        </w:rPr>
        <w:t xml:space="preserve">&lt;p&gt;Our market presence reflects both current achievements and future potential:&lt;/p&gt;&lt;ul&gt;&lt;li&gt;&lt;strong&gt;Brand Recognition:&lt;/strong&gt; 85% brand awareness among target customer segments in our primary markets&lt;/li&gt;&lt;li&gt;&lt;strong&gt;Market Share:&lt;/strong&gt; Currently holding 3.2% market share in the sustainable urban mobility sector with rapid growth trajectory&lt;/li&gt;&lt;li&gt;&lt;strong&gt;Customer Satisfaction:&lt;/strong&gt; 92% customer satisfaction rate with 78% of customers serving as active referral sources&lt;/li&gt;&lt;li&gt;&lt;strong&gt;Thought Leadership:&lt;/strong&gt; Regular participation in 25+ industry conferences annually, with leadership team recognized as industry innovators&lt;/li&gt;&lt;li&gt;&lt;strong&gt;Media Coverage:&lt;/strong&gt; Featured in 150+ publications over the past year, including major technology and sustainability-focused media outlets&lt;/li&gt;&lt;li&gt;&lt;strong&gt;Awards &amp; Recognition:&lt;/strong&gt; Recipient of 8 industry awards for innovation, sustainability, and customer service excellence&lt;/li&gt;&lt;/ul&gt;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20. Competitive Landscape</w:t>
      </w:r>
    </w:p>
    <w:p>
      <w:pPr>
        <w:spacing w:after="120" w:before="80"/>
      </w:pPr>
      <w:r>
        <w:rPr>
          <w:rFonts w:ascii="Arial" w:cs="Arial" w:eastAsia="Arial" w:hAnsi="Arial"/>
          <w:b w:val="false"/>
          <w:bCs w:val="false"/>
          <w:color w:val="2C2C2C"/>
          <w:sz w:val="20"/>
          <w:szCs w:val="20"/>
        </w:rPr>
        <w:t xml:space="preserve">&lt;p&gt;The competitive landscape in sustainable transportation is rapidly evolving, with both traditional automotive companies and technology startups vying for market position:&lt;/p&gt;&lt;ul&gt;&lt;li&gt;&lt;strong&gt;Traditional Automakers:&lt;/strong&gt; Legacy companies investing heavily in electric vehicle transitions but moving slowly due to infrastructure constraints&lt;/li&gt;&lt;li&gt;&lt;strong&gt;Technology Disruptors:&lt;/strong&gt; Well-funded startups focusing on specific niches like autonomous vehicles, electric scooters, and ride-sharing optimization&lt;/li&gt;&lt;li&gt;&lt;strong&gt;Government Initiatives:&lt;/strong&gt; Public sector investments in smart city infrastructure and sustainable transportation mandates creating both opportunities and regulatory complexities&lt;/li&gt;&lt;li&gt;&lt;strong&gt;Competitive Advantages:&lt;/strong&gt; Our integrated approach combining hardware, software, and service delivery provides significant differentiation from point-solution competitors&lt;/li&gt;&lt;li&gt;&lt;strong&gt;Market Gaps:&lt;/strong&gt; Identified opportunities in mid-market fleet electrification, rural mobility solutions, and cross-modal transportation integration&lt;/li&gt;&lt;/ul&gt;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21. Internal Capabilities</w:t>
      </w:r>
    </w:p>
    <w:p>
      <w:pPr>
        <w:spacing w:after="120" w:before="80"/>
      </w:pPr>
      <w:r>
        <w:rPr>
          <w:rFonts w:ascii="Arial" w:cs="Arial" w:eastAsia="Arial" w:hAnsi="Arial"/>
          <w:b w:val="false"/>
          <w:bCs w:val="false"/>
          <w:color w:val="2C2C2C"/>
          <w:sz w:val="20"/>
          <w:szCs w:val="20"/>
        </w:rPr>
        <w:t xml:space="preserve">&lt;p&gt;Our internal capabilities position us well for executing our strategic vision:&lt;/p&gt;&lt;ul&gt;&lt;li&gt;&lt;strong&gt;Research &amp; Development:&lt;/strong&gt; Advanced R&amp;D facility with capabilities in battery technology, AI/ML, IoT integration, and sustainable materials&lt;/li&gt;&lt;li&gt;&lt;strong&gt;Manufacturing Partnerships:&lt;/strong&gt; Strategic relationships with 6 manufacturing partners enabling rapid scaling without capital-intensive facility investments&lt;/li&gt;&lt;li&gt;&lt;strong&gt;Data Analytics:&lt;/strong&gt; Proprietary platform processing 10TB+ of transportation data monthly to drive insights and optimization&lt;/li&gt;&lt;li&gt;&lt;strong&gt;Customer Success:&lt;/strong&gt; Dedicated customer success organization with 95% retention rate and expansion revenue averaging 140% annually&lt;/li&gt;&lt;li&gt;&lt;strong&gt;Regulatory Expertise:&lt;/strong&gt; Deep understanding of transportation regulations across multiple jurisdictions with established relationships with regulatory bodies&lt;/li&gt;&lt;li&gt;&lt;strong&gt;Financial Management:&lt;/strong&gt; Robust financial controls and planning capabilities supporting sustainable growth and investor confidence&lt;/li&gt;&lt;/ul&gt;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22. Key Challenges</w:t>
      </w:r>
    </w:p>
    <w:p>
      <w:pPr>
        <w:pStyle w:val="ListParagraph"/>
        <w:numPr>
          <w:ilvl w:val="0"/>
          <w:numId w:val="1"/>
        </w:numPr>
        <w:spacing w:after="60" w:before="60"/>
      </w:pPr>
      <w:r>
        <w:rPr>
          <w:rFonts w:ascii="Arial" w:cs="Arial" w:eastAsia="Arial" w:hAnsi="Arial"/>
          <w:color w:val="2C2C2C"/>
          <w:sz w:val="20"/>
          <w:szCs w:val="20"/>
        </w:rPr>
        <w:t xml:space="preserve">&lt;strong&gt;Scaling Infrastructure:&lt;/strong&gt; Need to rapidly expand our technology infrastructure and operational capabilities to support aggressive growth targets while maintaining service quality and system reliability.</w:t>
      </w:r>
    </w:p>
    <w:p>
      <w:pPr>
        <w:pStyle w:val="ListParagraph"/>
        <w:numPr>
          <w:ilvl w:val="0"/>
          <w:numId w:val="1"/>
        </w:numPr>
        <w:spacing w:after="60" w:before="60"/>
      </w:pPr>
      <w:r>
        <w:rPr>
          <w:rFonts w:ascii="Arial" w:cs="Arial" w:eastAsia="Arial" w:hAnsi="Arial"/>
          <w:color w:val="2C2C2C"/>
          <w:sz w:val="20"/>
          <w:szCs w:val="20"/>
        </w:rPr>
        <w:t xml:space="preserve">&lt;strong&gt;Talent Acquisition:&lt;/strong&gt; Competing for top-tier talent in a highly competitive market where skilled professionals in sustainable transportation technology are in extremely high demand across the industry.</w:t>
      </w:r>
    </w:p>
    <w:p>
      <w:pPr>
        <w:pStyle w:val="ListParagraph"/>
        <w:numPr>
          <w:ilvl w:val="0"/>
          <w:numId w:val="1"/>
        </w:numPr>
        <w:spacing w:after="60" w:before="60"/>
      </w:pPr>
      <w:r>
        <w:rPr>
          <w:rFonts w:ascii="Arial" w:cs="Arial" w:eastAsia="Arial" w:hAnsi="Arial"/>
          <w:color w:val="2C2C2C"/>
          <w:sz w:val="20"/>
          <w:szCs w:val="20"/>
        </w:rPr>
        <w:t xml:space="preserve">&lt;strong&gt;Regulatory Complexity:&lt;/strong&gt; Navigating increasingly complex regulatory environments across multiple jurisdictions while advocating for policy changes that support sustainable transportation adoption.</w:t>
      </w:r>
    </w:p>
    <w:p>
      <w:pPr>
        <w:pStyle w:val="ListParagraph"/>
        <w:numPr>
          <w:ilvl w:val="0"/>
          <w:numId w:val="1"/>
        </w:numPr>
        <w:spacing w:after="60" w:before="60"/>
      </w:pPr>
      <w:r>
        <w:rPr>
          <w:rFonts w:ascii="Arial" w:cs="Arial" w:eastAsia="Arial" w:hAnsi="Arial"/>
          <w:color w:val="2C2C2C"/>
          <w:sz w:val="20"/>
          <w:szCs w:val="20"/>
        </w:rPr>
        <w:t xml:space="preserve">&lt;strong&gt;Capital Requirements:&lt;/strong&gt; Managing capital allocation between immediate operational needs, R&amp;D investments, and market expansion while maintaining healthy cash flow and investor relationships.</w:t>
      </w:r>
    </w:p>
    <w:p>
      <w:pPr>
        <w:pStyle w:val="ListParagraph"/>
        <w:numPr>
          <w:ilvl w:val="0"/>
          <w:numId w:val="1"/>
        </w:numPr>
        <w:spacing w:after="60" w:before="60"/>
      </w:pPr>
      <w:r>
        <w:rPr>
          <w:rFonts w:ascii="Arial" w:cs="Arial" w:eastAsia="Arial" w:hAnsi="Arial"/>
          <w:color w:val="2C2C2C"/>
          <w:sz w:val="20"/>
          <w:szCs w:val="20"/>
        </w:rPr>
        <w:t xml:space="preserve">&lt;strong&gt;Technology Integration:&lt;/strong&gt; Ensuring seamless integration between rapidly evolving internal technologies and third-party systems while maintaining data security and operational efficiency.</w:t>
      </w:r>
    </w:p>
    <w:p>
      <w:pPr>
        <w:pStyle w:val="ListParagraph"/>
        <w:numPr>
          <w:ilvl w:val="0"/>
          <w:numId w:val="1"/>
        </w:numPr>
        <w:spacing w:after="60" w:before="60"/>
      </w:pPr>
      <w:r>
        <w:rPr>
          <w:rFonts w:ascii="Arial" w:cs="Arial" w:eastAsia="Arial" w:hAnsi="Arial"/>
          <w:color w:val="2C2C2C"/>
          <w:sz w:val="20"/>
          <w:szCs w:val="20"/>
        </w:rPr>
        <w:t xml:space="preserve">&lt;strong&gt;Market Education:&lt;/strong&gt; Continuing to educate potential customers about the long-term value and ROI of sustainable transportation solutions in markets where traditional approaches still dominate.</w:t>
      </w:r>
    </w:p>
    <w:p>
      <w:pPr>
        <w:pStyle w:val="ListParagraph"/>
        <w:numPr>
          <w:ilvl w:val="0"/>
          <w:numId w:val="1"/>
        </w:numPr>
        <w:spacing w:after="60" w:before="60"/>
      </w:pPr>
      <w:r>
        <w:rPr>
          <w:rFonts w:ascii="Arial" w:cs="Arial" w:eastAsia="Arial" w:hAnsi="Arial"/>
          <w:color w:val="2C2C2C"/>
          <w:sz w:val="20"/>
          <w:szCs w:val="20"/>
        </w:rPr>
        <w:t xml:space="preserve">&lt;strong&gt;Supply Chain Resilience:&lt;/strong&gt; Building robust supply chain relationships and alternatives to ensure consistent delivery capabilities despite global supply chain volatility and component shortages.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23. Market Context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24. Industry Overview</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25. Market Size</w:t>
      </w:r>
    </w:p>
    <w:p>
      <w:pPr>
        <w:spacing w:after="120" w:before="80"/>
      </w:pPr>
      <w:r>
        <w:rPr>
          <w:rFonts w:ascii="Arial" w:cs="Arial" w:eastAsia="Arial" w:hAnsi="Arial"/>
          <w:b w:val="false"/>
          <w:bCs w:val="false"/>
          <w:color w:val="2C2C2C"/>
          <w:sz w:val="20"/>
          <w:szCs w:val="20"/>
        </w:rPr>
        <w:t xml:space="preserve">$2.8 Trillion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26. Growth Trends</w:t>
      </w:r>
    </w:p>
    <w:p>
      <w:pPr>
        <w:spacing w:after="120" w:before="80"/>
      </w:pPr>
      <w:r>
        <w:rPr>
          <w:rFonts w:ascii="Arial" w:cs="Arial" w:eastAsia="Arial" w:hAnsi="Arial"/>
          <w:b w:val="false"/>
          <w:bCs w:val="false"/>
          <w:color w:val="2C2C2C"/>
          <w:sz w:val="20"/>
          <w:szCs w:val="20"/>
        </w:rPr>
        <w:t xml:space="preserve">&lt;p&gt;The global transportation industry is experiencing transformational growth driven by sustainability mandates, technological innovation, and changing consumer behaviors:&lt;/p&gt;&lt;ul&gt;&lt;li&gt;&lt;strong&gt;Electric Vehicle Market:&lt;/strong&gt; Growing at 22% CAGR with projected market value of $1.7T by 2030&lt;/li&gt;&lt;li&gt;&lt;strong&gt;Smart Mobility:&lt;/strong&gt; Connected vehicle technologies expanding at 25% annually, reaching $450B market size by 2028&lt;/li&gt;&lt;li&gt;&lt;strong&gt;Autonomous Systems:&lt;/strong&gt; Self-driving technology investments exceeding $100B globally with commercial deployments accelerating&lt;/li&gt;&lt;li&gt;&lt;strong&gt;Shared Mobility:&lt;/strong&gt; Ride-sharing and vehicle sharing markets growing 15% annually despite pandemic impacts&lt;/li&gt;&lt;li&gt;&lt;strong&gt;Urban Air Mobility:&lt;/strong&gt; Emerging market with $1B+ investments in vertical takeoff aircraft for urban transportation&lt;/li&gt;&lt;li&gt;&lt;strong&gt;Logistics Optimization:&lt;/strong&gt; Last-mile delivery solutions growing 20% annually driven by e-commerce expansion&lt;/li&gt;&lt;li&gt;&lt;strong&gt;Infrastructure Investment:&lt;/strong&gt; Governments worldwide committing $2T+ to sustainable transportation infrastructure over the next decade&lt;/li&gt;&lt;/ul&gt;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27. Disruption Factors</w:t>
      </w:r>
    </w:p>
    <w:p>
      <w:pPr>
        <w:pStyle w:val="ListParagraph"/>
        <w:numPr>
          <w:ilvl w:val="0"/>
          <w:numId w:val="1"/>
        </w:numPr>
        <w:spacing w:after="60" w:before="60"/>
      </w:pPr>
      <w:r>
        <w:rPr>
          <w:rFonts w:ascii="Arial" w:cs="Arial" w:eastAsia="Arial" w:hAnsi="Arial"/>
          <w:color w:val="2C2C2C"/>
          <w:sz w:val="20"/>
          <w:szCs w:val="20"/>
        </w:rPr>
        <w:t xml:space="preserve">&lt;strong&gt;Climate Regulations:&lt;/strong&gt; Increasingly stringent emissions standards and carbon pricing mechanisms forcing rapid industry transformation toward zero-emission solutions across all transportation modes.</w:t>
      </w:r>
    </w:p>
    <w:p>
      <w:pPr>
        <w:pStyle w:val="ListParagraph"/>
        <w:numPr>
          <w:ilvl w:val="0"/>
          <w:numId w:val="1"/>
        </w:numPr>
        <w:spacing w:after="60" w:before="60"/>
      </w:pPr>
      <w:r>
        <w:rPr>
          <w:rFonts w:ascii="Arial" w:cs="Arial" w:eastAsia="Arial" w:hAnsi="Arial"/>
          <w:color w:val="2C2C2C"/>
          <w:sz w:val="20"/>
          <w:szCs w:val="20"/>
        </w:rPr>
        <w:t xml:space="preserve">&lt;strong&gt;Technology Convergence:&lt;/strong&gt; Integration of AI, IoT, 5G, and edge computing creating new possibilities for intelligent, connected transportation systems that were previously technically infeasible.</w:t>
      </w:r>
    </w:p>
    <w:p>
      <w:pPr>
        <w:pStyle w:val="ListParagraph"/>
        <w:numPr>
          <w:ilvl w:val="0"/>
          <w:numId w:val="1"/>
        </w:numPr>
        <w:spacing w:after="60" w:before="60"/>
      </w:pPr>
      <w:r>
        <w:rPr>
          <w:rFonts w:ascii="Arial" w:cs="Arial" w:eastAsia="Arial" w:hAnsi="Arial"/>
          <w:color w:val="2C2C2C"/>
          <w:sz w:val="20"/>
          <w:szCs w:val="20"/>
        </w:rPr>
        <w:t xml:space="preserve">&lt;strong&gt;Urbanization Pressure:&lt;/strong&gt; Growing urban populations creating demand for efficient, sustainable mobility solutions that can handle increased density while reducing environmental impact.</w:t>
      </w:r>
    </w:p>
    <w:p>
      <w:pPr>
        <w:pStyle w:val="ListParagraph"/>
        <w:numPr>
          <w:ilvl w:val="0"/>
          <w:numId w:val="1"/>
        </w:numPr>
        <w:spacing w:after="60" w:before="60"/>
      </w:pPr>
      <w:r>
        <w:rPr>
          <w:rFonts w:ascii="Arial" w:cs="Arial" w:eastAsia="Arial" w:hAnsi="Arial"/>
          <w:color w:val="2C2C2C"/>
          <w:sz w:val="20"/>
          <w:szCs w:val="20"/>
        </w:rPr>
        <w:t xml:space="preserve">&lt;strong&gt;Consumer Behavior Shift:&lt;/strong&gt; Younger generations prioritizing sustainability and accessibility over ownership, driving growth in shared mobility and as-a-service business models.</w:t>
      </w:r>
    </w:p>
    <w:p>
      <w:pPr>
        <w:pStyle w:val="ListParagraph"/>
        <w:numPr>
          <w:ilvl w:val="0"/>
          <w:numId w:val="1"/>
        </w:numPr>
        <w:spacing w:after="60" w:before="60"/>
      </w:pPr>
      <w:r>
        <w:rPr>
          <w:rFonts w:ascii="Arial" w:cs="Arial" w:eastAsia="Arial" w:hAnsi="Arial"/>
          <w:color w:val="2C2C2C"/>
          <w:sz w:val="20"/>
          <w:szCs w:val="20"/>
        </w:rPr>
        <w:t xml:space="preserve">&lt;strong&gt;Energy Transition:&lt;/strong&gt; Rapid adoption of renewable energy sources making electric transportation increasingly cost-competitive with traditional fossil fuel-based systems.</w:t>
      </w:r>
    </w:p>
    <w:p>
      <w:pPr>
        <w:pStyle w:val="ListParagraph"/>
        <w:numPr>
          <w:ilvl w:val="0"/>
          <w:numId w:val="1"/>
        </w:numPr>
        <w:spacing w:after="60" w:before="60"/>
      </w:pPr>
      <w:r>
        <w:rPr>
          <w:rFonts w:ascii="Arial" w:cs="Arial" w:eastAsia="Arial" w:hAnsi="Arial"/>
          <w:color w:val="2C2C2C"/>
          <w:sz w:val="20"/>
          <w:szCs w:val="20"/>
        </w:rPr>
        <w:t xml:space="preserve">&lt;strong&gt;Investment Capital:&lt;/strong&gt; Massive influx of venture capital and private equity funding accelerating innovation cycles and enabling rapid scaling of successful sustainable transportation solutions.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28. Opportunities</w:t>
      </w:r>
    </w:p>
    <w:p>
      <w:pPr>
        <w:pStyle w:val="ListParagraph"/>
        <w:numPr>
          <w:ilvl w:val="0"/>
          <w:numId w:val="1"/>
        </w:numPr>
        <w:spacing w:after="60" w:before="60"/>
      </w:pPr>
      <w:r>
        <w:rPr>
          <w:rFonts w:ascii="Arial" w:cs="Arial" w:eastAsia="Arial" w:hAnsi="Arial"/>
          <w:color w:val="2C2C2C"/>
          <w:sz w:val="20"/>
          <w:szCs w:val="20"/>
        </w:rPr>
        <w:t xml:space="preserve">&lt;strong&gt;Market Expansion:&lt;/strong&gt; Opportunity to expand into 25+ new metropolitan markets within 24 months, leveraging our proven technology platform and go-to-market strategies with local partnership models.</w:t>
      </w:r>
    </w:p>
    <w:p>
      <w:pPr>
        <w:pStyle w:val="ListParagraph"/>
        <w:numPr>
          <w:ilvl w:val="0"/>
          <w:numId w:val="1"/>
        </w:numPr>
        <w:spacing w:after="60" w:before="60"/>
      </w:pPr>
      <w:r>
        <w:rPr>
          <w:rFonts w:ascii="Arial" w:cs="Arial" w:eastAsia="Arial" w:hAnsi="Arial"/>
          <w:color w:val="2C2C2C"/>
          <w:sz w:val="20"/>
          <w:szCs w:val="20"/>
        </w:rPr>
        <w:t xml:space="preserve">&lt;strong&gt;Product Portfolio Growth:&lt;/strong&gt; Development of 8 new product lines addressing gaps in rural mobility, freight optimization, and micro-mobility integration with projected $30M additional revenue potential.</w:t>
      </w:r>
    </w:p>
    <w:p>
      <w:pPr>
        <w:pStyle w:val="ListParagraph"/>
        <w:numPr>
          <w:ilvl w:val="0"/>
          <w:numId w:val="1"/>
        </w:numPr>
        <w:spacing w:after="60" w:before="60"/>
      </w:pPr>
      <w:r>
        <w:rPr>
          <w:rFonts w:ascii="Arial" w:cs="Arial" w:eastAsia="Arial" w:hAnsi="Arial"/>
          <w:color w:val="2C2C2C"/>
          <w:sz w:val="20"/>
          <w:szCs w:val="20"/>
        </w:rPr>
        <w:t xml:space="preserve">&lt;strong&gt;Enterprise Partnerships:&lt;/strong&gt; Strategic partnerships with Fortune 500 companies seeking to electrify their fleets and optimize logistics operations, representing $100M+ opportunity pipeline.</w:t>
      </w:r>
    </w:p>
    <w:p>
      <w:pPr>
        <w:pStyle w:val="ListParagraph"/>
        <w:numPr>
          <w:ilvl w:val="0"/>
          <w:numId w:val="1"/>
        </w:numPr>
        <w:spacing w:after="60" w:before="60"/>
      </w:pPr>
      <w:r>
        <w:rPr>
          <w:rFonts w:ascii="Arial" w:cs="Arial" w:eastAsia="Arial" w:hAnsi="Arial"/>
          <w:color w:val="2C2C2C"/>
          <w:sz w:val="20"/>
          <w:szCs w:val="20"/>
        </w:rPr>
        <w:t xml:space="preserve">&lt;strong&gt;Government Contracts:&lt;/strong&gt; Growing opportunities in smart city initiatives and public transportation optimization projects with 15+ active RFP processes worth $75M+ in potential contracts.</w:t>
      </w:r>
    </w:p>
    <w:p>
      <w:pPr>
        <w:pStyle w:val="ListParagraph"/>
        <w:numPr>
          <w:ilvl w:val="0"/>
          <w:numId w:val="1"/>
        </w:numPr>
        <w:spacing w:after="60" w:before="60"/>
      </w:pPr>
      <w:r>
        <w:rPr>
          <w:rFonts w:ascii="Arial" w:cs="Arial" w:eastAsia="Arial" w:hAnsi="Arial"/>
          <w:color w:val="2C2C2C"/>
          <w:sz w:val="20"/>
          <w:szCs w:val="20"/>
        </w:rPr>
        <w:t xml:space="preserve">&lt;strong&gt;International Expansion:&lt;/strong&gt; Entry into European and Asian markets where sustainability regulations are creating immediate demand for our solutions with less established competition.</w:t>
      </w:r>
    </w:p>
    <w:p>
      <w:pPr>
        <w:pStyle w:val="ListParagraph"/>
        <w:numPr>
          <w:ilvl w:val="0"/>
          <w:numId w:val="1"/>
        </w:numPr>
        <w:spacing w:after="60" w:before="60"/>
      </w:pPr>
      <w:r>
        <w:rPr>
          <w:rFonts w:ascii="Arial" w:cs="Arial" w:eastAsia="Arial" w:hAnsi="Arial"/>
          <w:color w:val="2C2C2C"/>
          <w:sz w:val="20"/>
          <w:szCs w:val="20"/>
        </w:rPr>
        <w:t xml:space="preserve">&lt;strong&gt;Technology Licensing:&lt;/strong&gt; Monetization of our proprietary algorithms and platforms through licensing agreements with other industry players, creating high-margin revenue streams.</w:t>
      </w:r>
    </w:p>
    <w:p>
      <w:pPr>
        <w:pStyle w:val="ListParagraph"/>
        <w:numPr>
          <w:ilvl w:val="0"/>
          <w:numId w:val="1"/>
        </w:numPr>
        <w:spacing w:after="60" w:before="60"/>
      </w:pPr>
      <w:r>
        <w:rPr>
          <w:rFonts w:ascii="Arial" w:cs="Arial" w:eastAsia="Arial" w:hAnsi="Arial"/>
          <w:color w:val="2C2C2C"/>
          <w:sz w:val="20"/>
          <w:szCs w:val="20"/>
        </w:rPr>
        <w:t xml:space="preserve">&lt;strong&gt;Data Monetization:&lt;/strong&gt; Leveraging anonymized transportation data insights for urban planning, infrastructure optimization, and predictive analytics services for government and enterprise clients.</w:t>
      </w:r>
    </w:p>
    <w:p>
      <w:pPr>
        <w:pStyle w:val="ListParagraph"/>
        <w:numPr>
          <w:ilvl w:val="0"/>
          <w:numId w:val="1"/>
        </w:numPr>
        <w:spacing w:after="60" w:before="60"/>
      </w:pPr>
      <w:r>
        <w:rPr>
          <w:rFonts w:ascii="Arial" w:cs="Arial" w:eastAsia="Arial" w:hAnsi="Arial"/>
          <w:color w:val="2C2C2C"/>
          <w:sz w:val="20"/>
          <w:szCs w:val="20"/>
        </w:rPr>
        <w:t xml:space="preserve">&lt;strong&gt;Vertical Integration:&lt;/strong&gt; Strategic acquisitions of complementary technologies and capabilities to create comprehensive solutions and increase customer lifetime value.</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29. Threats</w:t>
      </w:r>
    </w:p>
    <w:p>
      <w:pPr>
        <w:pStyle w:val="ListParagraph"/>
        <w:numPr>
          <w:ilvl w:val="0"/>
          <w:numId w:val="1"/>
        </w:numPr>
        <w:spacing w:after="60" w:before="60"/>
      </w:pPr>
      <w:r>
        <w:rPr>
          <w:rFonts w:ascii="Arial" w:cs="Arial" w:eastAsia="Arial" w:hAnsi="Arial"/>
          <w:color w:val="2C2C2C"/>
          <w:sz w:val="20"/>
          <w:szCs w:val="20"/>
        </w:rPr>
        <w:t xml:space="preserve">&lt;strong&gt;Big Tech Competition:&lt;/strong&gt; Major technology companies with significant resources entering transportation markets could commoditize solutions and create pricing pressure through aggressive market penetration strategies.</w:t>
      </w:r>
    </w:p>
    <w:p>
      <w:pPr>
        <w:pStyle w:val="ListParagraph"/>
        <w:numPr>
          <w:ilvl w:val="0"/>
          <w:numId w:val="1"/>
        </w:numPr>
        <w:spacing w:after="60" w:before="60"/>
      </w:pPr>
      <w:r>
        <w:rPr>
          <w:rFonts w:ascii="Arial" w:cs="Arial" w:eastAsia="Arial" w:hAnsi="Arial"/>
          <w:color w:val="2C2C2C"/>
          <w:sz w:val="20"/>
          <w:szCs w:val="20"/>
        </w:rPr>
        <w:t xml:space="preserve">&lt;strong&gt;Economic Downturn:&lt;/strong&gt; Potential recession or economic instability could reduce customer spending on new technology solutions and delay infrastructure investments critical to our growth strategy.</w:t>
      </w:r>
    </w:p>
    <w:p>
      <w:pPr>
        <w:pStyle w:val="ListParagraph"/>
        <w:numPr>
          <w:ilvl w:val="0"/>
          <w:numId w:val="1"/>
        </w:numPr>
        <w:spacing w:after="60" w:before="60"/>
      </w:pPr>
      <w:r>
        <w:rPr>
          <w:rFonts w:ascii="Arial" w:cs="Arial" w:eastAsia="Arial" w:hAnsi="Arial"/>
          <w:color w:val="2C2C2C"/>
          <w:sz w:val="20"/>
          <w:szCs w:val="20"/>
        </w:rPr>
        <w:t xml:space="preserve">&lt;strong&gt;Regulatory Changes:&lt;/strong&gt; Sudden shifts in government policy or regulations could impact market demand, create compliance costs, or favor competing technologies over our current solutions.</w:t>
      </w:r>
    </w:p>
    <w:p>
      <w:pPr>
        <w:pStyle w:val="ListParagraph"/>
        <w:numPr>
          <w:ilvl w:val="0"/>
          <w:numId w:val="1"/>
        </w:numPr>
        <w:spacing w:after="60" w:before="60"/>
      </w:pPr>
      <w:r>
        <w:rPr>
          <w:rFonts w:ascii="Arial" w:cs="Arial" w:eastAsia="Arial" w:hAnsi="Arial"/>
          <w:color w:val="2C2C2C"/>
          <w:sz w:val="20"/>
          <w:szCs w:val="20"/>
        </w:rPr>
        <w:t xml:space="preserve">&lt;strong&gt;Supply Chain Disruption:&lt;/strong&gt; Global supply chain instabilities could affect our ability to deliver solutions on time and within budget, impacting customer satisfaction and revenue recognition.</w:t>
      </w:r>
    </w:p>
    <w:p>
      <w:pPr>
        <w:pStyle w:val="ListParagraph"/>
        <w:numPr>
          <w:ilvl w:val="0"/>
          <w:numId w:val="1"/>
        </w:numPr>
        <w:spacing w:after="60" w:before="60"/>
      </w:pPr>
      <w:r>
        <w:rPr>
          <w:rFonts w:ascii="Arial" w:cs="Arial" w:eastAsia="Arial" w:hAnsi="Arial"/>
          <w:color w:val="2C2C2C"/>
          <w:sz w:val="20"/>
          <w:szCs w:val="20"/>
        </w:rPr>
        <w:t xml:space="preserve">&lt;strong&gt;Cybersecurity Risks:&lt;/strong&gt; Increasing cyber threats targeting connected vehicle systems and transportation infrastructure could create liability issues and damage customer trust in our solutions.</w:t>
      </w:r>
    </w:p>
    <w:p>
      <w:pPr>
        <w:pStyle w:val="ListParagraph"/>
        <w:numPr>
          <w:ilvl w:val="0"/>
          <w:numId w:val="1"/>
        </w:numPr>
        <w:spacing w:after="60" w:before="60"/>
      </w:pPr>
      <w:r>
        <w:rPr>
          <w:rFonts w:ascii="Arial" w:cs="Arial" w:eastAsia="Arial" w:hAnsi="Arial"/>
          <w:color w:val="2C2C2C"/>
          <w:sz w:val="20"/>
          <w:szCs w:val="20"/>
        </w:rPr>
        <w:t xml:space="preserve">&lt;strong&gt;Technology Obsolescence:&lt;/strong&gt; Rapid pace of technological change could make our current solutions outdated faster than anticipated, requiring significant reinvestment in R&amp;D and platform updates.</w:t>
      </w:r>
    </w:p>
    <w:p>
      <w:pPr>
        <w:pStyle w:val="ListParagraph"/>
        <w:numPr>
          <w:ilvl w:val="0"/>
          <w:numId w:val="1"/>
        </w:numPr>
        <w:spacing w:after="60" w:before="60"/>
      </w:pPr>
      <w:r>
        <w:rPr>
          <w:rFonts w:ascii="Arial" w:cs="Arial" w:eastAsia="Arial" w:hAnsi="Arial"/>
          <w:color w:val="2C2C2C"/>
          <w:sz w:val="20"/>
          <w:szCs w:val="20"/>
        </w:rPr>
        <w:t xml:space="preserve">&lt;strong&gt;Talent Competition:&lt;/strong&gt; Intense competition for skilled professionals could increase our hiring costs significantly and potentially limit our ability to scale operations as planned.</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30. Strategic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Pillar Name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Key Initiatives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Success 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31. Execution Roadmap</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32. Timeline</w:t>
      </w:r>
    </w:p>
    <w:p>
      <w:pPr>
        <w:spacing w:after="120" w:before="80"/>
      </w:pPr>
      <w:r>
        <w:rPr>
          <w:rFonts w:ascii="Arial" w:cs="Arial" w:eastAsia="Arial" w:hAnsi="Arial"/>
          <w:b w:val="false"/>
          <w:bCs w:val="false"/>
          <w:color w:val="2C2C2C"/>
          <w:sz w:val="20"/>
          <w:szCs w:val="20"/>
        </w:rPr>
        <w:t xml:space="preserve">8-Week Implementation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33.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Objectives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Deliverables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Responsible Teams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34. Resource Allocation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35. Budget Requirements</w:t>
      </w:r>
    </w:p>
    <w:p>
      <w:pPr>
        <w:spacing w:after="120" w:before="80"/>
      </w:pPr>
      <w:r>
        <w:rPr>
          <w:rFonts w:ascii="Arial" w:cs="Arial" w:eastAsia="Arial" w:hAnsi="Arial"/>
          <w:b w:val="false"/>
          <w:bCs w:val="false"/>
          <w:color w:val="2C2C2C"/>
          <w:sz w:val="20"/>
          <w:szCs w:val="20"/>
        </w:rPr>
        <w:t xml:space="preserve">&lt;p&gt;&lt;strong&gt;Total Strategic Investment: $12.5 Million over 8-week implementation period&lt;/strong&gt;&lt;/p&gt;&lt;p&gt;Budget allocation reflects our commitment to balanced investment across all strategic pillars while maintaining operational efficiency and financial sustainability:&lt;/p&gt;&lt;ul&gt;&lt;li&gt;&lt;strong&gt;Innovation Excellence (35% - $4.4M):&lt;/strong&gt; R&amp;D investments, technology development, patent filing, and research partnerships&lt;/li&gt;&lt;li&gt;&lt;strong&gt;Market Expansion (30% - $3.8M):&lt;/strong&gt; Geographic expansion, sales team scaling, marketing initiatives, and partnership development&lt;/li&gt;&lt;li&gt;&lt;strong&gt;Sustainability Leadership (20% - $2.5M):&lt;/strong&gt; Environmental initiatives, supply chain transformation, and sustainability certification processes&lt;/li&gt;&lt;li&gt;&lt;strong&gt;Customer Experience (15% - $1.9M):&lt;/strong&gt; Customer success platform development, support system enhancement, and training program creation&lt;/li&gt;&lt;/ul&gt;&lt;p&gt;Budget includes contingency reserves of 10% for unforeseen opportunities and risks, with monthly budget reviews and reallocation capabilities based on performance and market conditions.&lt;/p&gt;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36. Human Resources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37. Team Structure</w:t>
      </w:r>
    </w:p>
    <w:p>
      <w:pPr>
        <w:spacing w:after="120" w:before="80"/>
      </w:pPr>
      <w:r>
        <w:rPr>
          <w:rFonts w:ascii="Arial" w:cs="Arial" w:eastAsia="Arial" w:hAnsi="Arial"/>
          <w:b w:val="false"/>
          <w:bCs w:val="false"/>
          <w:color w:val="2C2C2C"/>
          <w:sz w:val="20"/>
          <w:szCs w:val="20"/>
        </w:rPr>
        <w:t xml:space="preserve">&lt;p&gt;Our human resources strategy focuses on &lt;strong&gt;strategic talent acquisition and development&lt;/strong&gt; to support our ambitious growth objectives:&lt;/p&gt;&lt;p&gt;&lt;strong&gt;Current Team Composition:&lt;/strong&gt;&lt;/p&gt;&lt;ul&gt;&lt;li&gt;Executive Leadership: 8 senior leaders with industry expertise&lt;/li&gt;&lt;li&gt;Engineering &amp; Technology: 65 professionals in software, hardware, and AI/ML&lt;/li&gt;&lt;li&gt;Operations &amp; Customer Success: 35 team members focused on delivery and support&lt;/li&gt;&lt;li&gt;Sales &amp; Marketing: 25 professionals driving growth and market expansion&lt;/li&gt;&lt;li&gt;Finance &amp; Administration: 15 team members supporting operational excellence&lt;/li&gt;&lt;li&gt;Sustainability &amp; Innovation: 12 specialists in environmental and R&amp;D initiatives&lt;/li&gt;&lt;/ul&gt;&lt;p&gt;&lt;strong&gt;Planned Team Expansion (8-week period):&lt;/strong&gt;&lt;/p&gt;&lt;ul&gt;&lt;li&gt;Strategic hires: 45 new team members across key growth areas&lt;/li&gt;&lt;li&gt;Leadership additions: 6 senior leaders in regional markets and new verticals&lt;/li&gt;&lt;li&gt;Technical specialists: 20 engineers and data scientists&lt;/li&gt;&lt;li&gt;Customer-facing roles: 15 customer success and sales professionals&lt;/li&gt;&lt;li&gt;Operations support: 10 roles supporting scaling and efficiency&lt;/li&gt;&lt;/ul&gt;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38. Key Roles</w:t>
      </w:r>
    </w:p>
    <w:p>
      <w:pPr>
        <w:pStyle w:val="ListParagraph"/>
        <w:numPr>
          <w:ilvl w:val="0"/>
          <w:numId w:val="1"/>
        </w:numPr>
        <w:spacing w:after="60" w:before="60"/>
      </w:pPr>
      <w:r>
        <w:rPr>
          <w:rFonts w:ascii="Arial" w:cs="Arial" w:eastAsia="Arial" w:hAnsi="Arial"/>
          <w:color w:val="2C2C2C"/>
          <w:sz w:val="20"/>
          <w:szCs w:val="20"/>
        </w:rPr>
        <w:t xml:space="preserve">&lt;strong&gt;Chief Technology Officer (Regional):&lt;/strong&gt; Senior technology leader responsible for overseeing innovation initiatives and R&amp;D strategy across expanded geographic markets with proven track record in sustainable technology development.</w:t>
      </w:r>
    </w:p>
    <w:p>
      <w:pPr>
        <w:pStyle w:val="ListParagraph"/>
        <w:numPr>
          <w:ilvl w:val="0"/>
          <w:numId w:val="1"/>
        </w:numPr>
        <w:spacing w:after="60" w:before="60"/>
      </w:pPr>
      <w:r>
        <w:rPr>
          <w:rFonts w:ascii="Arial" w:cs="Arial" w:eastAsia="Arial" w:hAnsi="Arial"/>
          <w:color w:val="2C2C2C"/>
          <w:sz w:val="20"/>
          <w:szCs w:val="20"/>
        </w:rPr>
        <w:t xml:space="preserve">&lt;strong&gt;VP of Market Expansion:&lt;/strong&gt; Strategic leader responsible for geographic and vertical market expansion with expertise in international business development and sustainable transportation markets.</w:t>
      </w:r>
    </w:p>
    <w:p>
      <w:pPr>
        <w:pStyle w:val="ListParagraph"/>
        <w:numPr>
          <w:ilvl w:val="0"/>
          <w:numId w:val="1"/>
        </w:numPr>
        <w:spacing w:after="60" w:before="60"/>
      </w:pPr>
      <w:r>
        <w:rPr>
          <w:rFonts w:ascii="Arial" w:cs="Arial" w:eastAsia="Arial" w:hAnsi="Arial"/>
          <w:color w:val="2C2C2C"/>
          <w:sz w:val="20"/>
          <w:szCs w:val="20"/>
        </w:rPr>
        <w:t xml:space="preserve">&lt;strong&gt;Director of Customer Success:&lt;/strong&gt; Customer-focused leader responsible for retention, expansion, and satisfaction optimization with proven track record in technology customer success management.</w:t>
      </w:r>
    </w:p>
    <w:p>
      <w:pPr>
        <w:pStyle w:val="ListParagraph"/>
        <w:numPr>
          <w:ilvl w:val="0"/>
          <w:numId w:val="1"/>
        </w:numPr>
        <w:spacing w:after="60" w:before="60"/>
      </w:pPr>
      <w:r>
        <w:rPr>
          <w:rFonts w:ascii="Arial" w:cs="Arial" w:eastAsia="Arial" w:hAnsi="Arial"/>
          <w:color w:val="2C2C2C"/>
          <w:sz w:val="20"/>
          <w:szCs w:val="20"/>
        </w:rPr>
        <w:t xml:space="preserve">&lt;strong&gt;Head of Sustainability:&lt;/strong&gt; Environmental leader responsible for sustainability initiatives, ESG compliance, and environmental impact optimization with relevant certifications and industry experience.</w:t>
      </w:r>
    </w:p>
    <w:p>
      <w:pPr>
        <w:pStyle w:val="ListParagraph"/>
        <w:numPr>
          <w:ilvl w:val="0"/>
          <w:numId w:val="1"/>
        </w:numPr>
        <w:spacing w:after="60" w:before="60"/>
      </w:pPr>
      <w:r>
        <w:rPr>
          <w:rFonts w:ascii="Arial" w:cs="Arial" w:eastAsia="Arial" w:hAnsi="Arial"/>
          <w:color w:val="2C2C2C"/>
          <w:sz w:val="20"/>
          <w:szCs w:val="20"/>
        </w:rPr>
        <w:t xml:space="preserve">&lt;strong&gt;Senior Product Managers (3):&lt;/strong&gt; Product leaders responsible for key product lines and customer segments with strong backgrounds in transportation technology and product-market fit.</w:t>
      </w:r>
    </w:p>
    <w:p>
      <w:pPr>
        <w:pStyle w:val="ListParagraph"/>
        <w:numPr>
          <w:ilvl w:val="0"/>
          <w:numId w:val="1"/>
        </w:numPr>
        <w:spacing w:after="60" w:before="60"/>
      </w:pPr>
      <w:r>
        <w:rPr>
          <w:rFonts w:ascii="Arial" w:cs="Arial" w:eastAsia="Arial" w:hAnsi="Arial"/>
          <w:color w:val="2C2C2C"/>
          <w:sz w:val="20"/>
          <w:szCs w:val="20"/>
        </w:rPr>
        <w:t xml:space="preserve">&lt;strong&gt;Regional Sales Directors (4):&lt;/strong&gt; Sales leaders responsible for revenue growth in key geographic markets with established networks and proven track records in B2B technology sales.</w:t>
      </w:r>
    </w:p>
    <w:p>
      <w:pPr>
        <w:pStyle w:val="ListParagraph"/>
        <w:numPr>
          <w:ilvl w:val="0"/>
          <w:numId w:val="1"/>
        </w:numPr>
        <w:spacing w:after="60" w:before="60"/>
      </w:pPr>
      <w:r>
        <w:rPr>
          <w:rFonts w:ascii="Arial" w:cs="Arial" w:eastAsia="Arial" w:hAnsi="Arial"/>
          <w:color w:val="2C2C2C"/>
          <w:sz w:val="20"/>
          <w:szCs w:val="20"/>
        </w:rPr>
        <w:t xml:space="preserve">&lt;strong&gt;Principal Engineers (6):&lt;/strong&gt; Senior technical leaders responsible for key technology platforms and innovation initiatives with deep expertise in AI, IoT, and sustainable transportation technologies.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39. Training Needs</w:t>
      </w:r>
    </w:p>
    <w:p>
      <w:pPr>
        <w:pStyle w:val="ListParagraph"/>
        <w:numPr>
          <w:ilvl w:val="0"/>
          <w:numId w:val="1"/>
        </w:numPr>
        <w:spacing w:after="60" w:before="60"/>
      </w:pPr>
      <w:r>
        <w:rPr>
          <w:rFonts w:ascii="Arial" w:cs="Arial" w:eastAsia="Arial" w:hAnsi="Arial"/>
          <w:color w:val="2C2C2C"/>
          <w:sz w:val="20"/>
          <w:szCs w:val="20"/>
        </w:rPr>
        <w:t xml:space="preserve">&lt;strong&gt;Strategic Vision Alignment:&lt;/strong&gt; Comprehensive training program ensuring all team members understand and can articulate our strategic vision, goals, and their individual contribution to success.</w:t>
      </w:r>
    </w:p>
    <w:p>
      <w:pPr>
        <w:pStyle w:val="ListParagraph"/>
        <w:numPr>
          <w:ilvl w:val="0"/>
          <w:numId w:val="1"/>
        </w:numPr>
        <w:spacing w:after="60" w:before="60"/>
      </w:pPr>
      <w:r>
        <w:rPr>
          <w:rFonts w:ascii="Arial" w:cs="Arial" w:eastAsia="Arial" w:hAnsi="Arial"/>
          <w:color w:val="2C2C2C"/>
          <w:sz w:val="20"/>
          <w:szCs w:val="20"/>
        </w:rPr>
        <w:t xml:space="preserve">&lt;strong&gt;Sustainability Expertise:&lt;/strong&gt; Technical and business training on sustainability principles, environmental impact measurement, and ESG reporting requirements for all customer-facing roles.</w:t>
      </w:r>
    </w:p>
    <w:p>
      <w:pPr>
        <w:pStyle w:val="ListParagraph"/>
        <w:numPr>
          <w:ilvl w:val="0"/>
          <w:numId w:val="1"/>
        </w:numPr>
        <w:spacing w:after="60" w:before="60"/>
      </w:pPr>
      <w:r>
        <w:rPr>
          <w:rFonts w:ascii="Arial" w:cs="Arial" w:eastAsia="Arial" w:hAnsi="Arial"/>
          <w:color w:val="2C2C2C"/>
          <w:sz w:val="20"/>
          <w:szCs w:val="20"/>
        </w:rPr>
        <w:t xml:space="preserve">&lt;strong&gt;Technology Platform Proficiency:&lt;/strong&gt; Detailed technical training on our technology platforms, integration capabilities, and optimization techniques for all technical and customer success team members.</w:t>
      </w:r>
    </w:p>
    <w:p>
      <w:pPr>
        <w:pStyle w:val="ListParagraph"/>
        <w:numPr>
          <w:ilvl w:val="0"/>
          <w:numId w:val="1"/>
        </w:numPr>
        <w:spacing w:after="60" w:before="60"/>
      </w:pPr>
      <w:r>
        <w:rPr>
          <w:rFonts w:ascii="Arial" w:cs="Arial" w:eastAsia="Arial" w:hAnsi="Arial"/>
          <w:color w:val="2C2C2C"/>
          <w:sz w:val="20"/>
          <w:szCs w:val="20"/>
        </w:rPr>
        <w:t xml:space="preserve">&lt;strong&gt;Customer Success Methodologies:&lt;/strong&gt; Training on advanced customer success techniques, value realization frameworks, and proactive customer relationship management for all customer-facing professionals.</w:t>
      </w:r>
    </w:p>
    <w:p>
      <w:pPr>
        <w:pStyle w:val="ListParagraph"/>
        <w:numPr>
          <w:ilvl w:val="0"/>
          <w:numId w:val="1"/>
        </w:numPr>
        <w:spacing w:after="60" w:before="60"/>
      </w:pPr>
      <w:r>
        <w:rPr>
          <w:rFonts w:ascii="Arial" w:cs="Arial" w:eastAsia="Arial" w:hAnsi="Arial"/>
          <w:color w:val="2C2C2C"/>
          <w:sz w:val="20"/>
          <w:szCs w:val="20"/>
        </w:rPr>
        <w:t xml:space="preserve">&lt;strong&gt;Market Intelligence:&lt;/strong&gt; Training on competitive landscape, market trends, and industry dynamics to ensure all team members can effectively represent our value proposition and competitive advantages.</w:t>
      </w:r>
    </w:p>
    <w:p>
      <w:pPr>
        <w:pStyle w:val="ListParagraph"/>
        <w:numPr>
          <w:ilvl w:val="0"/>
          <w:numId w:val="1"/>
        </w:numPr>
        <w:spacing w:after="60" w:before="60"/>
      </w:pPr>
      <w:r>
        <w:rPr>
          <w:rFonts w:ascii="Arial" w:cs="Arial" w:eastAsia="Arial" w:hAnsi="Arial"/>
          <w:color w:val="2C2C2C"/>
          <w:sz w:val="20"/>
          <w:szCs w:val="20"/>
        </w:rPr>
        <w:t xml:space="preserve">&lt;strong&gt;Sales Process Optimization:&lt;/strong&gt; Advanced sales training including consultative selling, solution presentation, and objection handling specific to sustainable transportation technology markets.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40. Technology Requirements</w:t>
      </w:r>
    </w:p>
    <w:p>
      <w:pPr>
        <w:pStyle w:val="ListParagraph"/>
        <w:numPr>
          <w:ilvl w:val="0"/>
          <w:numId w:val="1"/>
        </w:numPr>
        <w:spacing w:after="60" w:before="60"/>
      </w:pPr>
      <w:r>
        <w:rPr>
          <w:rFonts w:ascii="Arial" w:cs="Arial" w:eastAsia="Arial" w:hAnsi="Arial"/>
          <w:color w:val="2C2C2C"/>
          <w:sz w:val="20"/>
          <w:szCs w:val="20"/>
        </w:rPr>
        <w:t xml:space="preserve">&lt;strong&gt;Infrastructure Scaling:&lt;/strong&gt; Cloud infrastructure expansion supporting 10x growth in data processing, user capacity, and geographic distribution with 99.9% uptime requirements and automated scaling capabilities.</w:t>
      </w:r>
    </w:p>
    <w:p>
      <w:pPr>
        <w:pStyle w:val="ListParagraph"/>
        <w:numPr>
          <w:ilvl w:val="0"/>
          <w:numId w:val="1"/>
        </w:numPr>
        <w:spacing w:after="60" w:before="60"/>
      </w:pPr>
      <w:r>
        <w:rPr>
          <w:rFonts w:ascii="Arial" w:cs="Arial" w:eastAsia="Arial" w:hAnsi="Arial"/>
          <w:color w:val="2C2C2C"/>
          <w:sz w:val="20"/>
          <w:szCs w:val="20"/>
        </w:rPr>
        <w:t xml:space="preserve">&lt;strong&gt;AI/ML Platform Enhancement:&lt;/strong&gt; Advanced machine learning infrastructure including GPU clusters, data lake architecture, and real-time analytics platforms supporting predictive capabilities and optimization algorithms.</w:t>
      </w:r>
    </w:p>
    <w:p>
      <w:pPr>
        <w:pStyle w:val="ListParagraph"/>
        <w:numPr>
          <w:ilvl w:val="0"/>
          <w:numId w:val="1"/>
        </w:numPr>
        <w:spacing w:after="60" w:before="60"/>
      </w:pPr>
      <w:r>
        <w:rPr>
          <w:rFonts w:ascii="Arial" w:cs="Arial" w:eastAsia="Arial" w:hAnsi="Arial"/>
          <w:color w:val="2C2C2C"/>
          <w:sz w:val="20"/>
          <w:szCs w:val="20"/>
        </w:rPr>
        <w:t xml:space="preserve">&lt;strong&gt;Customer Success Platform:&lt;/strong&gt; Comprehensive customer success technology stack including CRM integration, automated health scoring, predictive analytics, and proactive engagement capabilities.</w:t>
      </w:r>
    </w:p>
    <w:p>
      <w:pPr>
        <w:pStyle w:val="ListParagraph"/>
        <w:numPr>
          <w:ilvl w:val="0"/>
          <w:numId w:val="1"/>
        </w:numPr>
        <w:spacing w:after="60" w:before="60"/>
      </w:pPr>
      <w:r>
        <w:rPr>
          <w:rFonts w:ascii="Arial" w:cs="Arial" w:eastAsia="Arial" w:hAnsi="Arial"/>
          <w:color w:val="2C2C2C"/>
          <w:sz w:val="20"/>
          <w:szCs w:val="20"/>
        </w:rPr>
        <w:t xml:space="preserve">&lt;strong&gt;Security &amp; Compliance:&lt;/strong&gt; Enhanced cybersecurity infrastructure including zero-trust architecture, advanced threat detection, and compliance automation supporting SOC2, ISO 27001, and industry-specific requirements.</w:t>
      </w:r>
    </w:p>
    <w:p>
      <w:pPr>
        <w:pStyle w:val="ListParagraph"/>
        <w:numPr>
          <w:ilvl w:val="0"/>
          <w:numId w:val="1"/>
        </w:numPr>
        <w:spacing w:after="60" w:before="60"/>
      </w:pPr>
      <w:r>
        <w:rPr>
          <w:rFonts w:ascii="Arial" w:cs="Arial" w:eastAsia="Arial" w:hAnsi="Arial"/>
          <w:color w:val="2C2C2C"/>
          <w:sz w:val="20"/>
          <w:szCs w:val="20"/>
        </w:rPr>
        <w:t xml:space="preserve">&lt;strong&gt;Integration Platform:&lt;/strong&gt; API-first integration platform enabling seamless connectivity with partner systems, customer environments, and third-party services with real-time data synchronization.</w:t>
      </w:r>
    </w:p>
    <w:p>
      <w:pPr>
        <w:pStyle w:val="ListParagraph"/>
        <w:numPr>
          <w:ilvl w:val="0"/>
          <w:numId w:val="1"/>
        </w:numPr>
        <w:spacing w:after="60" w:before="60"/>
      </w:pPr>
      <w:r>
        <w:rPr>
          <w:rFonts w:ascii="Arial" w:cs="Arial" w:eastAsia="Arial" w:hAnsi="Arial"/>
          <w:color w:val="2C2C2C"/>
          <w:sz w:val="20"/>
          <w:szCs w:val="20"/>
        </w:rPr>
        <w:t xml:space="preserve">&lt;strong&gt;Mobile Applications:&lt;/strong&gt; Native mobile applications for iOS and Android providing full functionality access, real-time notifications, and offline capabilities for field operations and customer engagement.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41. Partnerships</w:t>
      </w:r>
    </w:p>
    <w:p>
      <w:pPr>
        <w:pStyle w:val="ListParagraph"/>
        <w:numPr>
          <w:ilvl w:val="0"/>
          <w:numId w:val="1"/>
        </w:numPr>
        <w:spacing w:after="60" w:before="60"/>
      </w:pPr>
      <w:r>
        <w:rPr>
          <w:rFonts w:ascii="Arial" w:cs="Arial" w:eastAsia="Arial" w:hAnsi="Arial"/>
          <w:color w:val="2C2C2C"/>
          <w:sz w:val="20"/>
          <w:szCs w:val="20"/>
        </w:rPr>
        <w:t xml:space="preserve">&lt;strong&gt;Technology Partners:&lt;/strong&gt; Strategic partnerships with cloud providers (AWS, Azure, GCP), AI/ML platforms (NVIDIA, Intel), and IoT infrastructure providers enabling scalable, cutting-edge technology deployment.</w:t>
      </w:r>
    </w:p>
    <w:p>
      <w:pPr>
        <w:pStyle w:val="ListParagraph"/>
        <w:numPr>
          <w:ilvl w:val="0"/>
          <w:numId w:val="1"/>
        </w:numPr>
        <w:spacing w:after="60" w:before="60"/>
      </w:pPr>
      <w:r>
        <w:rPr>
          <w:rFonts w:ascii="Arial" w:cs="Arial" w:eastAsia="Arial" w:hAnsi="Arial"/>
          <w:color w:val="2C2C2C"/>
          <w:sz w:val="20"/>
          <w:szCs w:val="20"/>
        </w:rPr>
        <w:t xml:space="preserve">&lt;strong&gt;Automotive Industry:&lt;/strong&gt; Partnerships with 8 major automotive manufacturers for vehicle integration, telematics access, and joint solution development with shared go-to-market strategies.</w:t>
      </w:r>
    </w:p>
    <w:p>
      <w:pPr>
        <w:pStyle w:val="ListParagraph"/>
        <w:numPr>
          <w:ilvl w:val="0"/>
          <w:numId w:val="1"/>
        </w:numPr>
        <w:spacing w:after="60" w:before="60"/>
      </w:pPr>
      <w:r>
        <w:rPr>
          <w:rFonts w:ascii="Arial" w:cs="Arial" w:eastAsia="Arial" w:hAnsi="Arial"/>
          <w:color w:val="2C2C2C"/>
          <w:sz w:val="20"/>
          <w:szCs w:val="20"/>
        </w:rPr>
        <w:t xml:space="preserve">&lt;strong&gt;Government Agencies:&lt;/strong&gt; Collaborative relationships with transportation departments, environmental agencies, and smart city initiatives in 15+ metropolitan areas supporting policy development and large-scale implementations.</w:t>
      </w:r>
    </w:p>
    <w:p>
      <w:pPr>
        <w:pStyle w:val="ListParagraph"/>
        <w:numPr>
          <w:ilvl w:val="0"/>
          <w:numId w:val="1"/>
        </w:numPr>
        <w:spacing w:after="60" w:before="60"/>
      </w:pPr>
      <w:r>
        <w:rPr>
          <w:rFonts w:ascii="Arial" w:cs="Arial" w:eastAsia="Arial" w:hAnsi="Arial"/>
          <w:color w:val="2C2C2C"/>
          <w:sz w:val="20"/>
          <w:szCs w:val="20"/>
        </w:rPr>
        <w:t xml:space="preserve">&lt;strong&gt;Academic Institutions:&lt;/strong&gt; Research partnerships with 6 leading universities focusing on sustainable transportation, AI optimization, and environmental science with joint research projects and talent pipeline development.</w:t>
      </w:r>
    </w:p>
    <w:p>
      <w:pPr>
        <w:pStyle w:val="ListParagraph"/>
        <w:numPr>
          <w:ilvl w:val="0"/>
          <w:numId w:val="1"/>
        </w:numPr>
        <w:spacing w:after="60" w:before="60"/>
      </w:pPr>
      <w:r>
        <w:rPr>
          <w:rFonts w:ascii="Arial" w:cs="Arial" w:eastAsia="Arial" w:hAnsi="Arial"/>
          <w:color w:val="2C2C2C"/>
          <w:sz w:val="20"/>
          <w:szCs w:val="20"/>
        </w:rPr>
        <w:t xml:space="preserve">&lt;strong&gt;Financial Services:&lt;/strong&gt; Partnerships with green financing institutions, impact investors, and carbon credit platforms enabling customer financing options and sustainability outcome monetization.</w:t>
      </w:r>
    </w:p>
    <w:p>
      <w:pPr>
        <w:pStyle w:val="ListParagraph"/>
        <w:numPr>
          <w:ilvl w:val="0"/>
          <w:numId w:val="1"/>
        </w:numPr>
        <w:spacing w:after="60" w:before="60"/>
      </w:pPr>
      <w:r>
        <w:rPr>
          <w:rFonts w:ascii="Arial" w:cs="Arial" w:eastAsia="Arial" w:hAnsi="Arial"/>
          <w:color w:val="2C2C2C"/>
          <w:sz w:val="20"/>
          <w:szCs w:val="20"/>
        </w:rPr>
        <w:t xml:space="preserve">&lt;strong&gt;Supply Chain Partners:&lt;/strong&gt; Strategic relationships with sustainable material suppliers, manufacturing partners, and logistics providers ensuring responsible sourcing and efficient operations.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42. Success Metrics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43.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Metric</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Target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Timeframe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Measurement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Milestone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Target Date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Success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45. Reporting Cadence</w:t>
      </w:r>
    </w:p>
    <w:p>
      <w:pPr>
        <w:spacing w:after="120" w:before="80"/>
      </w:pPr>
      <w:r>
        <w:rPr>
          <w:rFonts w:ascii="Arial" w:cs="Arial" w:eastAsia="Arial" w:hAnsi="Arial"/>
          <w:b w:val="false"/>
          <w:bCs w:val="false"/>
          <w:color w:val="2C2C2C"/>
          <w:sz w:val="20"/>
          <w:szCs w:val="20"/>
        </w:rPr>
        <w:t xml:space="preserve">&lt;p&gt;&lt;strong&gt;Comprehensive Multi-Level Reporting Framework:&lt;/strong&gt;&lt;/p&gt;&lt;ul&gt;&lt;li&gt;&lt;strong&gt;Daily Metrics:&lt;/strong&gt; Key operational metrics including system performance, customer satisfaction scores, and critical issue tracking through automated dashboards&lt;/li&gt;&lt;li&gt;&lt;strong&gt;Weekly Reports:&lt;/strong&gt; Strategic initiative progress, team performance metrics, and resource utilization analysis with trend identification and risk flagging&lt;/li&gt;&lt;li&gt;&lt;strong&gt;Monthly Executive Summary:&lt;/strong&gt; Comprehensive strategic performance review including KPI progress, financial performance, market developments, and strategic adjustment recommendations&lt;/li&gt;&lt;li&gt;&lt;strong&gt;Quarterly Board Reports:&lt;/strong&gt; Detailed strategic performance analysis, competitive position assessment, and long-term strategic planning updates with stakeholder presentations&lt;/li&gt;&lt;li&gt;&lt;strong&gt;Annual Strategic Review:&lt;/strong&gt; Comprehensive strategic assessment including vision alignment, market position evaluation, and strategic plan updates for subsequent planning cycles&lt;/li&gt;&lt;/ul&gt;&lt;p&gt;All reporting includes trend analysis, predictive insights, and actionable recommendations with clear accountability assignments and success criteria.&lt;/p&gt;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46. Risk Management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47.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Risk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Probability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Mitigation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48. Contingency Plans</w:t>
      </w:r>
    </w:p>
    <w:p>
      <w:pPr>
        <w:spacing w:after="120" w:before="80"/>
      </w:pPr>
      <w:r>
        <w:rPr>
          <w:rFonts w:ascii="Arial" w:cs="Arial" w:eastAsia="Arial" w:hAnsi="Arial"/>
          <w:b w:val="false"/>
          <w:bCs w:val="false"/>
          <w:color w:val="2C2C2C"/>
          <w:sz w:val="20"/>
          <w:szCs w:val="20"/>
        </w:rPr>
        <w:t xml:space="preserve">&lt;p&gt;&lt;strong&gt;Comprehensive Risk Response Framework:&lt;/strong&gt;&lt;/p&gt;&lt;p&gt;Our contingency planning approach encompasses proactive risk monitoring, rapid response protocols, and adaptive strategy implementation:&lt;/p&gt;&lt;ul&gt;&lt;li&gt;&lt;strong&gt;Financial Contingencies:&lt;/strong&gt; Maintain 18-month operating cash reserve, establish emergency credit facilities, and develop rapid cost reduction protocols enabling 30% operational cost reduction within 60 days if required&lt;/li&gt;&lt;li&gt;&lt;strong&gt;Operational Continuity:&lt;/strong&gt; Detailed business continuity plans including remote operations capabilities, alternative supply chain routes, and emergency customer support procedures with regular testing and validation&lt;/li&gt;&lt;li&gt;&lt;strong&gt;Market Response Plans:&lt;/strong&gt; Competitive response strategies including pricing flexibility, product differentiation acceleration, and strategic partnership activation to maintain market position during competitive pressure&lt;/li&gt;&lt;li&gt;&lt;strong&gt;Technology Resilience:&lt;/strong&gt; Comprehensive disaster recovery procedures, cybersecurity incident response plans, and technology infrastructure redundancy enabling 99.9% operational continuity during technical challenges&lt;/li&gt;&lt;li&gt;&lt;strong&gt;Stakeholder Communication:&lt;/strong&gt; Crisis communication protocols ensuring transparent, timely communication with customers, investors, employees, and partners during challenging situations with pre-approved messaging and response procedures&lt;/li&gt;&lt;/ul&gt;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49. Next Steps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50. Immediate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Action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Owner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Deadline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18"/>
                <w:szCs w:val="18"/>
              </w:rPr>
              <w:t xml:space="preserve">—</w:t>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51. Communication Plan</w:t>
      </w:r>
    </w:p>
    <w:p>
      <w:pPr>
        <w:spacing w:after="120" w:before="80"/>
      </w:pPr>
      <w:r>
        <w:rPr>
          <w:rFonts w:ascii="Arial" w:cs="Arial" w:eastAsia="Arial" w:hAnsi="Arial"/>
          <w:b w:val="false"/>
          <w:bCs w:val="false"/>
          <w:color w:val="2C2C2C"/>
          <w:sz w:val="20"/>
          <w:szCs w:val="20"/>
        </w:rPr>
        <w:t xml:space="preserve">&lt;p&gt;&lt;strong&gt;Comprehensive Stakeholder Communication Strategy:&lt;/strong&gt;&lt;/p&gt;&lt;p&gt;Our communication approach ensures transparent, consistent, and engaging communication across all stakeholder groups:&lt;/p&gt;&lt;ul&gt;&lt;li&gt;&lt;strong&gt;Employee Communications:&lt;/strong&gt; Weekly all-hands meetings, monthly strategic updates, quarterly town halls, and annual strategic planning sessions with two-way feedback mechanisms and open forum discussions&lt;/li&gt;&lt;li&gt;&lt;strong&gt;Customer Communications:&lt;/strong&gt; Monthly newsletter with strategic updates, quarterly customer advisory board meetings, annual customer conference, and proactive communication during major initiatives or changes&lt;/li&gt;&lt;li&gt;&lt;strong&gt;Investor Relations:&lt;/strong&gt; Monthly investor updates, quarterly board presentations, annual strategic planning sessions, and proactive communication regarding major milestones, challenges, or opportunities&lt;/li&gt;&lt;li&gt;&lt;strong&gt;Partner Communications:&lt;/strong&gt; Quarterly partner summit meetings, monthly partnership performance reviews, and regular collaborative planning sessions with key strategic partners&lt;/li&gt;&lt;li&gt;&lt;strong&gt;Market Communications:&lt;/strong&gt; Thought leadership content publication, industry conference participation, media relations program, and regular industry analyst briefings to maintain market visibility&lt;/li&gt;&lt;/ul&gt;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52. Stakeholder Engagement</w:t>
      </w:r>
    </w:p>
    <w:p>
      <w:pPr>
        <w:spacing w:after="120" w:before="80"/>
      </w:pPr>
      <w:r>
        <w:rPr>
          <w:rFonts w:ascii="Arial" w:cs="Arial" w:eastAsia="Arial" w:hAnsi="Arial"/>
          <w:b w:val="false"/>
          <w:bCs w:val="false"/>
          <w:color w:val="2C2C2C"/>
          <w:sz w:val="20"/>
          <w:szCs w:val="20"/>
        </w:rPr>
        <w:t xml:space="preserve">&lt;p&gt;&lt;strong&gt;Strategic Stakeholder Engagement Framework:&lt;/strong&gt;&lt;/p&gt;&lt;p&gt;Our stakeholder engagement strategy prioritizes relationship building, value creation, and mutual success:&lt;/p&gt;&lt;ul&gt;&lt;li&gt;&lt;strong&gt;Customer Engagement:&lt;/strong&gt; Establish customer advisory boards, implement regular feedback collection systems, create customer success partnerships, and develop customer advocacy programs with measurable participation and satisfaction outcomes&lt;/li&gt;&lt;li&gt;&lt;strong&gt;Employee Engagement:&lt;/strong&gt; Develop comprehensive employee development programs, implement regular feedback and recognition systems, create career advancement pathways, and foster innovation through internal entrepreneurship opportunities&lt;/li&gt;&lt;li&gt;&lt;strong&gt;Investor Engagement:&lt;/strong&gt; Maintain transparent financial reporting, provide regular strategic updates, create investor advisory opportunities, and demonstrate consistent progress toward strategic objectives with clear value creation&lt;/li&gt;&lt;li&gt;&lt;strong&gt;Partner Engagement:&lt;/strong&gt; Establish joint planning processes, create mutual success metrics, develop collaborative innovation projects, and maintain regular relationship review and optimization activities&lt;/li&gt;&lt;li&gt;&lt;strong&gt;Community Engagement:&lt;/strong&gt; Participate in local sustainability initiatives, support educational programs, engage in policy development activities, and contribute to industry standards development and best practice sharing&lt;/li&gt;&lt;/ul&gt;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53. Call To Action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54. Rallying Message</w:t>
      </w:r>
    </w:p>
    <w:p>
      <w:pPr>
        <w:spacing w:after="120" w:before="80"/>
      </w:pPr>
      <w:r>
        <w:rPr>
          <w:rFonts w:ascii="Arial" w:cs="Arial" w:eastAsia="Arial" w:hAnsi="Arial"/>
          <w:b w:val="false"/>
          <w:bCs w:val="false"/>
          <w:color w:val="2C2C2C"/>
          <w:sz w:val="20"/>
          <w:szCs w:val="20"/>
        </w:rPr>
        <w:t xml:space="preserve">&lt;p&gt;&lt;strong&gt;The Transportation Revolution Starts Now - And We Are Leading It&lt;/strong&gt;&lt;/p&gt;&lt;p&gt;Cars on the Roads stands at a defining moment in our company's history and the transportation industry's evolution. The convergence of technological innovation, environmental urgency, and market demand has created an unprecedented opportunity for us to not just participate in change, but to &lt;em&gt;lead the transformation&lt;/em&gt; that will define transportation for generations to come.&lt;/p&gt;&lt;p&gt;Every member of our organization has the opportunity to be part of something truly remarkable - a mission that combines business success with environmental stewardship, technological innovation with human-centered design, and individual achievement with collective impact. We are not just building a company; we are building the foundation for a sustainable transportation future.&lt;/p&gt;&lt;blockquote&gt;&lt;strong&gt;The future belongs to those who see possibilities before they become obvious. At Cars on the Roads, we don't just see the future - we build it.&lt;/strong&gt;&lt;/blockquote&gt;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55. Individual Commitments</w:t>
      </w:r>
    </w:p>
    <w:p>
      <w:pPr>
        <w:spacing w:after="120" w:before="80"/>
      </w:pPr>
      <w:r>
        <w:rPr>
          <w:rFonts w:ascii="Arial" w:cs="Arial" w:eastAsia="Arial" w:hAnsi="Arial"/>
          <w:b w:val="false"/>
          <w:bCs w:val="false"/>
          <w:color w:val="2C2C2C"/>
          <w:sz w:val="20"/>
          <w:szCs w:val="20"/>
        </w:rPr>
        <w:t xml:space="preserve">&lt;p&gt;&lt;strong&gt;Your Role in Our Shared Success:&lt;/strong&gt;&lt;/p&gt;&lt;p&gt;Every team member's contribution is essential to achieving our strategic vision. Here's what we ask of each individual:&lt;/p&gt;&lt;ul&gt;&lt;li&gt;&lt;strong&gt;Embrace Learning:&lt;/strong&gt; Commit to continuous learning and skill development, staying at the forefront of industry knowledge and technological advancement&lt;/li&gt;&lt;li&gt;&lt;strong&gt;Customer Focus:&lt;/strong&gt; Make customer success your personal mission, going above and beyond to ensure every customer interaction creates value and builds long-term relationships&lt;/li&gt;&lt;li&gt;&lt;strong&gt;Innovation Mindset:&lt;/strong&gt; Challenge conventional thinking, propose creative solutions, and contribute to our culture of innovation and continuous improvement&lt;/li&gt;&lt;li&gt;&lt;strong&gt;Sustainability Champion:&lt;/strong&gt; Integrate sustainability considerations into your daily work, personal choices, and interactions with others both inside and outside the organization&lt;/li&gt;&lt;li&gt;&lt;strong&gt;Collaboration Excellence:&lt;/strong&gt; Work effectively with colleagues, partners, and customers to achieve shared objectives and create synergistic outcomes&lt;/li&gt;&lt;li&gt;&lt;strong&gt;Quality Commitment:&lt;/strong&gt; Maintain the highest standards of quality in all work products, communications, and customer interactions&lt;/li&gt;&lt;/ul&gt;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56. Team Alignment</w:t>
      </w:r>
    </w:p>
    <w:p>
      <w:pPr>
        <w:spacing w:after="120" w:before="80"/>
      </w:pPr>
      <w:r>
        <w:rPr>
          <w:rFonts w:ascii="Arial" w:cs="Arial" w:eastAsia="Arial" w:hAnsi="Arial"/>
          <w:b w:val="false"/>
          <w:bCs w:val="false"/>
          <w:color w:val="2C2C2C"/>
          <w:sz w:val="20"/>
          <w:szCs w:val="20"/>
        </w:rPr>
        <w:t xml:space="preserve">&lt;p&gt;&lt;strong&gt;United in Vision, Synchronized in Execution:&lt;/strong&gt;&lt;/p&gt;&lt;p&gt;Our success depends on unprecedented levels of teamwork, communication, and mutual support. As we embark on this strategic journey:&lt;/p&gt;&lt;ul&gt;&lt;li&gt;&lt;strong&gt;Shared Objectives:&lt;/strong&gt; All teams align their individual goals with our strategic pillars, ensuring every activity contributes to our collective success&lt;/li&gt;&lt;li&gt;&lt;strong&gt;Communication Excellence:&lt;/strong&gt; Maintain transparent, frequent, and effective communication across all teams and organizational levels&lt;/li&gt;&lt;li&gt;&lt;strong&gt;Resource Optimization:&lt;/strong&gt; Share resources, knowledge, and capabilities across teams to maximize efficiency and minimize redundancy&lt;/li&gt;&lt;li&gt;&lt;strong&gt;Mutual Support:&lt;/strong&gt; Provide assistance and support to other teams when needed, recognizing that our success is interdependent&lt;/li&gt;&lt;li&gt;&lt;strong&gt;Feedback Culture:&lt;/strong&gt; Give and receive feedback constructively, using insights to continuously improve individual and team performance&lt;/li&gt;&lt;li&gt;&lt;strong&gt;Celebration of Success:&lt;/strong&gt; Recognize and celebrate both individual achievements and team milestones, reinforcing our culture of excellence and shared success&lt;/li&gt;&lt;/ul&gt;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57. Success Vision</w:t>
      </w:r>
    </w:p>
    <w:p>
      <w:pPr>
        <w:spacing w:after="120" w:before="80"/>
      </w:pPr>
      <w:r>
        <w:rPr>
          <w:rFonts w:ascii="Arial" w:cs="Arial" w:eastAsia="Arial" w:hAnsi="Arial"/>
          <w:b w:val="false"/>
          <w:bCs w:val="false"/>
          <w:color w:val="2C2C2C"/>
          <w:sz w:val="20"/>
          <w:szCs w:val="20"/>
        </w:rPr>
        <w:t xml:space="preserve">&lt;p&gt;&lt;strong&gt;Our Vision of Success - December 2025:&lt;/strong&gt;&lt;/p&gt;&lt;p&gt;Twelve months from now, Cars on the Roads will have achieved something remarkable:&lt;/p&gt;&lt;ul&gt;&lt;li&gt;&lt;strong&gt;Market Leadership:&lt;/strong&gt; We will be recognized as the definitive leader in sustainable transportation innovation, with customers, competitors, and industry analysts acknowledging our unique position&lt;/li&gt;&lt;li&gt;&lt;strong&gt;Financial Success:&lt;/strong&gt; $50M ARR with sustainable profitability, strong cash flow, and investor confidence enabling continued growth and innovation investment&lt;/li&gt;&lt;li&gt;&lt;strong&gt;Customer Love:&lt;/strong&gt; 95%+ customer satisfaction with customers serving as enthusiastic advocates, case study partners, and referral sources&lt;/li&gt;&lt;li&gt;&lt;strong&gt;Environmental Impact:&lt;/strong&gt; 2M tons of CO2 emissions avoided annually through our solutions, with verified third-party impact measurement and customer success stories&lt;/li&gt;&lt;li&gt;&lt;strong&gt;Team Excellence:&lt;/strong&gt; 500+ world-class professionals working in a culture of innovation, collaboration, and shared purpose with 90%+ employee satisfaction&lt;/li&gt;&lt;li&gt;&lt;strong&gt;Innovation Recognition:&lt;/strong&gt; Industry recognition for technological innovation, sustainability leadership, and customer success with awards, patents, and thought leadership acknowledgment&lt;/li&gt;&lt;li&gt;&lt;strong&gt;Global Presence:&lt;/strong&gt; Successful operations in 35+ markets with strong local partnerships and culturally adapted solutions serving diverse customer needs&lt;/li&gt;&lt;/ul&gt;&lt;p&gt;&lt;em&gt;This is not just our business plan - this is our commitment to the future. Together, we will make it reality.&lt;/em&gt;&lt;/p&gt;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58. Appendices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59. Supporting Data</w:t>
      </w:r>
    </w:p>
    <w:p>
      <w:pPr>
        <w:spacing w:after="120" w:before="80"/>
      </w:pPr>
      <w:r>
        <w:rPr>
          <w:rFonts w:ascii="Arial" w:cs="Arial" w:eastAsia="Arial" w:hAnsi="Arial"/>
          <w:b w:val="false"/>
          <w:bCs w:val="false"/>
          <w:color w:val="2C2C2C"/>
          <w:sz w:val="20"/>
          <w:szCs w:val="20"/>
        </w:rPr>
        <w:t xml:space="preserve">&lt;h3&gt;Market Research and Industry Analysis&lt;/h3&gt;&lt;table&gt;&lt;thead&gt;&lt;tr&gt;&lt;th&gt;Market Segment&lt;/th&gt;&lt;th&gt;Current Size&lt;/th&gt;&lt;th&gt;Growth Rate&lt;/th&gt;&lt;th&gt;Opportunity&lt;/th&gt;&lt;th&gt;Competitive Intensity&lt;/th&gt;&lt;th&gt;Entry Timeline&lt;/th&gt;&lt;/tr&gt;&lt;/thead&gt;&lt;tbody&gt;&lt;tr&gt;&lt;td&gt;Electric Fleet Management&lt;/td&gt;&lt;td&gt;$15.2B&lt;/td&gt;&lt;td&gt;28% CAGR&lt;/td&gt;&lt;td&gt;High&lt;/td&gt;&lt;td&gt;Medium&lt;/td&gt;&lt;td&gt;Q1 2025&lt;/td&gt;&lt;/tr&gt;&lt;tr&gt;&lt;td&gt;Smart City Transportation&lt;/td&gt;&lt;td&gt;$8.7B&lt;/td&gt;&lt;td&gt;22% CAGR&lt;/td&gt;&lt;td&gt;Very High&lt;/td&gt;&lt;td&gt;Low&lt;/td&gt;&lt;td&gt;Q2 2025&lt;/td&gt;&lt;/tr&gt;&lt;tr&gt;&lt;td&gt;Last-Mile Delivery Optimization&lt;/td&gt;&lt;td&gt;$12.1B&lt;/td&gt;&lt;td&gt;31% CAGR&lt;/td&gt;&lt;td&gt;High&lt;/td&gt;&lt;td&gt;High&lt;/td&gt;&lt;td&gt;Q1 2025&lt;/td&gt;&lt;/tr&gt;&lt;tr&gt;&lt;td&gt;Autonomous Vehicle Integration&lt;/td&gt;&lt;td&gt;$6.9B&lt;/td&gt;&lt;td&gt;45% CAGR&lt;/td&gt;&lt;td&gt;Very High&lt;/td&gt;&lt;td&gt;Very High&lt;/td&gt;&lt;td&gt;Q3 2025&lt;/td&gt;&lt;/tr&gt;&lt;tr&gt;&lt;td&gt;Carbon Credit Transportation&lt;/td&gt;&lt;td&gt;$3.4B&lt;/td&gt;&lt;td&gt;52% CAGR&lt;/td&gt;&lt;td&gt;High&lt;/td&gt;&lt;td&gt;Low&lt;/td&gt;&lt;td&gt;Q2 2025&lt;/td&gt;&lt;/tr&gt;&lt;tr&gt;&lt;td&gt;Rural Mobility Solutions&lt;/td&gt;&lt;td&gt;$4.8B&lt;/td&gt;&lt;td&gt;18% CAGR&lt;/td&gt;&lt;td&gt;Medium&lt;/td&gt;&lt;td&gt;Low&lt;/td&gt;&lt;td&gt;Q4 2025&lt;/td&gt;&lt;/tr&gt;&lt;tr&gt;&lt;td&gt;Corporate Transportation Services&lt;/td&gt;&lt;td&gt;$21.5B&lt;/td&gt;&lt;td&gt;15% CAGR&lt;/td&gt;&lt;td&gt;Medium&lt;/td&gt;&lt;td&gt;Medium&lt;/td&gt;&lt;td&gt;Q1 2025&lt;/td&gt;&lt;/tr&gt;&lt;tr&gt;&lt;td&gt;Government Fleet Electrification&lt;/td&gt;&lt;td&gt;$9.3B&lt;/td&gt;&lt;td&gt;25% CAGR&lt;/td&gt;&lt;td&gt;High&lt;/td&gt;&lt;td&gt;Medium&lt;/td&gt;&lt;td&gt;Q2 2025&lt;/td&gt;&lt;/tr&gt;&lt;/tbody&gt;&lt;/table&gt;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60. Market Research</w:t>
      </w:r>
    </w:p>
    <w:p>
      <w:pPr>
        <w:spacing w:after="120" w:before="80"/>
      </w:pPr>
      <w:r>
        <w:rPr>
          <w:rFonts w:ascii="Arial" w:cs="Arial" w:eastAsia="Arial" w:hAnsi="Arial"/>
          <w:b w:val="false"/>
          <w:bCs w:val="false"/>
          <w:color w:val="2C2C2C"/>
          <w:sz w:val="20"/>
          <w:szCs w:val="20"/>
        </w:rPr>
        <w:t xml:space="preserve">&lt;h3&gt;Customer Segmentation and Behavior Analysis&lt;/h3&gt;&lt;table&gt;&lt;thead&gt;&lt;tr&gt;&lt;th&gt;Customer Segment&lt;/th&gt;&lt;th&gt;Size&lt;/th&gt;&lt;th&gt;Budget Range&lt;/th&gt;&lt;th&gt;Decision Timeline&lt;/th&gt;&lt;th&gt;Key Pain Points&lt;/th&gt;&lt;th&gt;Success Metrics&lt;/th&gt;&lt;/tr&gt;&lt;/thead&gt;&lt;tbody&gt;&lt;tr&gt;&lt;td&gt;Large Enterprise Fleets&lt;/td&gt;&lt;td&gt;2,500+ companies&lt;/td&gt;&lt;td&gt;$500K - $5M&lt;/td&gt;&lt;td&gt;6-12 months&lt;/td&gt;&lt;td&gt;Cost optimization, Compliance&lt;/td&gt;&lt;td&gt;ROI, Emissions reduction&lt;/td&gt;&lt;/tr&gt;&lt;tr&gt;&lt;td&gt;Mid-Market Companies&lt;/td&gt;&lt;td&gt;15,000+ companies&lt;/td&gt;&lt;td&gt;$50K - $500K&lt;/td&gt;&lt;td&gt;3-6 months&lt;/td&gt;&lt;td&gt;Efficiency, Sustainability&lt;/td&gt;&lt;td&gt;Cost savings, Brand value&lt;/td&gt;&lt;/tr&gt;&lt;tr&gt;&lt;td&gt;Government Agencies&lt;/td&gt;&lt;td&gt;850+ agencies&lt;/td&gt;&lt;td&gt;$100K - $2M&lt;/td&gt;&lt;td&gt;12-18 months&lt;/td&gt;&lt;td&gt;Compliance, Budget constraints&lt;/td&gt;&lt;td&gt;Policy goals, Public perception&lt;/td&gt;&lt;/tr&gt;&lt;tr&gt;&lt;td&gt;Logistics Companies&lt;/td&gt;&lt;td&gt;5,500+ companies&lt;/td&gt;&lt;td&gt;$200K - $1M&lt;/td&gt;&lt;td&gt;4-8 months&lt;/td&gt;&lt;td&gt;Route optimization, Fuel costs&lt;/td&gt;&lt;td&gt;Delivery efficiency, Cost per mile&lt;/td&gt;&lt;/tr&gt;&lt;tr&gt;&lt;td&gt;Urban Municipalities&lt;/td&gt;&lt;td&gt;650+ cities&lt;/td&gt;&lt;td&gt;$300K - $3M&lt;/td&gt;&lt;td&gt;18-24 months&lt;/td&gt;&lt;td&gt;Traffic congestion, Air quality&lt;/td&gt;&lt;td&gt;Citizen satisfaction, Environmental goals&lt;/td&gt;&lt;/tr&gt;&lt;tr&gt;&lt;td&gt;Technology Companies&lt;/td&gt;&lt;td&gt;1,200+ companies&lt;/td&gt;&lt;td&gt;$75K - $750K&lt;/td&gt;&lt;td&gt;2-4 months&lt;/td&gt;&lt;td&gt;Employee satisfaction, ESG&lt;/td&gt;&lt;td&gt;Employee engagement, Carbon footprint&lt;/td&gt;&lt;/tr&gt;&lt;tr&gt;&lt;td&gt;Healthcare Organizations&lt;/td&gt;&lt;td&gt;3,800+ organizations&lt;/td&gt;&lt;td&gt;$40K - $400K&lt;/td&gt;&lt;td&gt;6-9 months&lt;/td&gt;&lt;td&gt;Patient access, Cost management&lt;/td&gt;&lt;td&gt;Service reliability, Cost efficiency&lt;/td&gt;&lt;/tr&gt;&lt;/tbody&gt;&lt;/table&gt;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61. Competitive Analysis</w:t>
      </w:r>
    </w:p>
    <w:p>
      <w:pPr>
        <w:spacing w:after="120" w:before="80"/>
      </w:pPr>
      <w:r>
        <w:rPr>
          <w:rFonts w:ascii="Arial" w:cs="Arial" w:eastAsia="Arial" w:hAnsi="Arial"/>
          <w:b w:val="false"/>
          <w:bCs w:val="false"/>
          <w:color w:val="2C2C2C"/>
          <w:sz w:val="20"/>
          <w:szCs w:val="20"/>
        </w:rPr>
        <w:t xml:space="preserve">&lt;h3&gt;Competitive Landscape Assessment&lt;/h3&gt;&lt;table&gt;&lt;thead&gt;&lt;tr&gt;&lt;th&gt;Competitor&lt;/th&gt;&lt;th&gt;Market Share&lt;/th&gt;&lt;th&gt;Strengths&lt;/th&gt;&lt;th&gt;Weaknesses&lt;/th&gt;&lt;th&gt;Threat Level&lt;/th&gt;&lt;th&gt;Differentiation Strategy&lt;/th&gt;&lt;/tr&gt;&lt;/thead&gt;&lt;tbody&gt;&lt;tr&gt;&lt;td&gt;Tesla Fleet Solutions&lt;/td&gt;&lt;td&gt;12%&lt;/td&gt;&lt;td&gt;Brand recognition, Technology&lt;/td&gt;&lt;td&gt;High cost, Limited services&lt;/td&gt;&lt;td&gt;High&lt;/td&gt;&lt;td&gt;Integrated platform approach&lt;/td&gt;&lt;/tr&gt;&lt;tr&gt;&lt;td&gt;ChargePoint Fleet&lt;/td&gt;&lt;td&gt;8%&lt;/td&gt;&lt;td&gt;Infrastructure, Partnerships&lt;/td&gt;&lt;td&gt;Limited software, No optimization&lt;/td&gt;&lt;td&gt;Medium&lt;/td&gt;&lt;td&gt;AI-powered optimization&lt;/td&gt;&lt;/tr&gt;&lt;tr&gt;&lt;td&gt;Geotab Sustainability&lt;/td&gt;&lt;td&gt;15%&lt;/td&gt;&lt;td&gt;Data analytics, Market presence&lt;/td&gt;&lt;td&gt;Legacy technology, Slow innovation&lt;/td&gt;&lt;td&gt;High&lt;/td&gt;&lt;td&gt;Modern platform, Better UX&lt;/td&gt;&lt;/tr&gt;&lt;tr&gt;&lt;td&gt;Samsara Fleet&lt;/td&gt;&lt;td&gt;10%&lt;/td&gt;&lt;td&gt;IoT integration, Scalability&lt;/td&gt;&lt;td&gt;Limited sustainability focus&lt;/td&gt;&lt;td&gt;Medium&lt;/td&gt;&lt;td&gt;Sustainability-first approach&lt;/td&gt;&lt;/tr&gt;&lt;tr&gt;&lt;td&gt;Verizon Connect&lt;/td&gt;&lt;td&gt;18%&lt;/td&gt;&lt;td&gt;Enterprise relationships, Scale&lt;/td&gt;&lt;td&gt;Generic solutions, Poor sustainability&lt;/td&gt;&lt;td&gt;High&lt;/td&gt;&lt;td&gt;Industry-specific solutions&lt;/td&gt;&lt;/tr&gt;&lt;tr&gt;&lt;td&gt;Local Startups&lt;/td&gt;&lt;td&gt;5%&lt;/td&gt;&lt;td&gt;Agility, Local knowledge&lt;/td&gt;&lt;td&gt;Limited resources, No scale&lt;/td&gt;&lt;td&gt;Low&lt;/td&gt;&lt;td&gt;Technology superiority&lt;/td&gt;&lt;/tr&gt;&lt;tr&gt;&lt;td&gt;Traditional OEMs&lt;/td&gt;&lt;td&gt;22%&lt;/td&gt;&lt;td&gt;Established relationships, Financing&lt;/td&gt;&lt;td&gt;Slow adaptation, Legacy systems&lt;/td&gt;&lt;td&gt;Medium&lt;/td&gt;&lt;td&gt;Innovation speed, Modern tech&lt;/td&gt;&lt;/tr&gt;&lt;tr&gt;&lt;td&gt;New Entrants&lt;/td&gt;&lt;td&gt;10%&lt;/td&gt;&lt;td&gt;Fresh approach, VC funding&lt;/td&gt;&lt;td&gt;No proven track record&lt;/td&gt;&lt;td&gt;Medium&lt;/td&gt;&lt;td&gt;Proven results, Customer success&lt;/td&gt;&lt;/tr&gt;&lt;/tbody&gt;&lt;/table&gt;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62. Financial Projections</w:t>
      </w:r>
    </w:p>
    <w:p>
      <w:pPr>
        <w:spacing w:after="120" w:before="80"/>
      </w:pPr>
      <w:r>
        <w:rPr>
          <w:rFonts w:ascii="Arial" w:cs="Arial" w:eastAsia="Arial" w:hAnsi="Arial"/>
          <w:b w:val="false"/>
          <w:bCs w:val="false"/>
          <w:color w:val="2C2C2C"/>
          <w:sz w:val="20"/>
          <w:szCs w:val="20"/>
        </w:rPr>
        <w:t xml:space="preserve">&lt;h3&gt;Strategic Financial Projections (12-Month Outlook)&lt;/h3&gt;&lt;table&gt;&lt;thead&gt;&lt;tr&gt;&lt;th&gt;Quarter&lt;/th&gt;&lt;th&gt;Revenue&lt;/th&gt;&lt;th&gt;Growth Rate&lt;/th&gt;&lt;th&gt;Gross Margin&lt;/th&gt;&lt;th&gt;Operating Expenses&lt;/th&gt;&lt;th&gt;EBITDA&lt;/th&gt;&lt;th&gt;Cash Position&lt;/th&gt;&lt;/tr&gt;&lt;/thead&gt;&lt;tbody&gt;&lt;tr&gt;&lt;td&gt;Q1 2025&lt;/td&gt;&lt;td&gt;$8.5M&lt;/td&gt;&lt;td&gt;32%&lt;/td&gt;&lt;td&gt;68%&lt;/td&gt;&lt;td&gt;$4.2M&lt;/td&gt;&lt;td&gt;$1.6M&lt;/td&gt;&lt;td&gt;$12.8M&lt;/td&gt;&lt;/tr&gt;&lt;tr&gt;&lt;td&gt;Q2 2025&lt;/td&gt;&lt;td&gt;$11.2M&lt;/td&gt;&lt;td&gt;42%&lt;/td&gt;&lt;td&gt;70%&lt;/td&gt;&lt;td&gt;$5.8M&lt;/td&gt;&lt;td&gt;$2.0M&lt;/td&gt;&lt;td&gt;$15.2M&lt;/td&gt;&lt;/tr&gt;&lt;tr&gt;&lt;td&gt;Q3 2025&lt;/td&gt;&lt;td&gt;$14.8M&lt;/td&gt;&lt;td&gt;38%&lt;/td&gt;&lt;td&gt;72%&lt;/td&gt;&lt;td&gt;$7.1M&lt;/td&gt;&lt;td&gt;$3.5M&lt;/td&gt;&lt;td&gt;$18.9M&lt;/td&gt;&lt;/tr&gt;&lt;tr&gt;&lt;td&gt;Q4 2025&lt;/td&gt;&lt;td&gt;$18.2M&lt;/td&gt;&lt;td&gt;35%&lt;/td&gt;&lt;td&gt;74%&lt;/td&gt;&lt;td&gt;$8.9M&lt;/td&gt;&lt;td&gt;$4.6M&lt;/td&gt;&lt;td&gt;$22.5M&lt;/td&gt;&lt;/tr&gt;&lt;tr&gt;&lt;td&gt;Annual Total&lt;/td&gt;&lt;td&gt;$52.7M&lt;/td&gt;&lt;td&gt;250%&lt;/td&gt;&lt;td&gt;71%&lt;/td&gt;&lt;td&gt;$26.0M&lt;/td&gt;&lt;td&gt;$11.7M&lt;/td&gt;&lt;td&gt;$22.5M&lt;/td&gt;&lt;/tr&gt;&lt;tr&gt;&lt;td&gt;Customer Acquisition&lt;/td&gt;&lt;td&gt;15,000+&lt;/td&gt;&lt;td&gt;300%&lt;/td&gt;&lt;td&gt;N/A&lt;/td&gt;&lt;td&gt;N/A&lt;/td&gt;&lt;td&gt;N/A&lt;/td&gt;&lt;td&gt;N/A&lt;/td&gt;&lt;/tr&gt;&lt;/tbody&gt;&lt;/table&gt;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Document Document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DOCUMENT DOCUMENT</w:t>
          </w:r>
        </w:p>
        <w:p>
          <w:r>
            <w:rPr>
              <w:rFonts w:ascii="Arial" w:cs="Arial" w:eastAsia="Arial" w:hAnsi="Arial"/>
              <w:color w:val="666666"/>
              <w:sz w:val="18"/>
              <w:szCs w:val="18"/>
            </w:rPr>
            <w:t xml:space="preserve">Professional Document</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2026-04-30T01:41:41.003Z</dcterms:created>
  <dcterms:modified xsi:type="dcterms:W3CDTF">2026-04-30T01:41:41.003Z</dcterms:modified>
</cp:coreProperties>
</file>

<file path=docProps/custom.xml><?xml version="1.0" encoding="utf-8"?>
<Properties xmlns="http://schemas.openxmlformats.org/officeDocument/2006/custom-properties" xmlns:vt="http://schemas.openxmlformats.org/officeDocument/2006/docPropsVTypes"/>
</file>