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1F4E79"/>
          <w:sz w:val="22"/>
          <w:szCs w:val="22"/>
        </w:rPr>
        <w:t xml:space="preserve">DOCUMENT INFORMATION</w:t>
      </w:r>
    </w:p>
    <w:p>
      <w:pPr>
        <w:pBdr>
          <w:bottom w:val="single" w:color="2E75B6" w:sz="6"/>
        </w:pBdr>
        <w:spacing w:after="160" w:before="0"/>
      </w:pP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Prepared By:</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Date:</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none" w:color="FFFFFF" w:sz="0"/>
              <w:left w:val="none" w:color="FFFFFF" w:sz="0"/>
              <w:bottom w:val="none" w:color="FFFFFF" w:sz="0"/>
              <w:right w:val="none" w:color="FFFFFF" w:sz="0"/>
            </w:tcBorders>
            <w:tcMar>
              <w:top w:type="dxa" w:w="80"/>
              <w:left w:type="dxa" w:w="0"/>
              <w:bottom w:type="dxa" w:w="80"/>
              <w:right w:type="dxa" w:w="80"/>
            </w:tcMar>
          </w:tcPr>
          <w:p>
            <w:r>
              <w:rPr>
                <w:rFonts w:ascii="Arial" w:cs="Arial" w:eastAsia="Arial" w:hAnsi="Arial"/>
                <w:b/>
                <w:bCs/>
                <w:color w:val="2C2C2C"/>
                <w:sz w:val="20"/>
                <w:szCs w:val="20"/>
              </w:rPr>
              <w:t xml:space="preserve">Department:</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240"/>
            </w:tcMar>
          </w:tcPr>
          <w:p>
            <w:r>
              <w:rPr>
                <w:rFonts w:ascii="Arial" w:cs="Arial" w:eastAsia="Arial" w:hAnsi="Arial"/>
                <w:i/>
                <w:iCs/>
                <w:color w:val="999999"/>
                <w:sz w:val="20"/>
                <w:szCs w:val="20"/>
              </w:rPr>
              <w:t xml:space="preserve"/>
            </w:r>
          </w:p>
        </w:tc>
        <w:tc>
          <w:tcPr>
            <w:tcW w:type="dxa" w:w="1800"/>
            <w:tcBorders>
              <w:top w:val="none" w:color="FFFFFF" w:sz="0"/>
              <w:left w:val="none" w:color="FFFFFF" w:sz="0"/>
              <w:bottom w:val="none" w:color="FFFFFF" w:sz="0"/>
              <w:right w:val="none" w:color="FFFFFF" w:sz="0"/>
            </w:tcBorders>
            <w:tcMar>
              <w:top w:type="dxa" w:w="80"/>
              <w:left w:type="dxa" w:w="80"/>
              <w:bottom w:type="dxa" w:w="80"/>
              <w:right w:type="dxa" w:w="80"/>
            </w:tcMar>
          </w:tcPr>
          <w:p>
            <w:r>
              <w:rPr>
                <w:rFonts w:ascii="Arial" w:cs="Arial" w:eastAsia="Arial" w:hAnsi="Arial"/>
                <w:b/>
                <w:bCs/>
                <w:color w:val="2C2C2C"/>
                <w:sz w:val="20"/>
                <w:szCs w:val="20"/>
              </w:rPr>
              <w:t xml:space="preserve">Version:</w:t>
            </w:r>
          </w:p>
        </w:tc>
        <w:tc>
          <w:tcPr>
            <w:tcW w:type="dxa" w:w="2880"/>
            <w:tcBorders>
              <w:top w:val="none" w:color="FFFFFF" w:sz="0"/>
              <w:left w:val="none" w:color="FFFFFF" w:sz="0"/>
              <w:bottom w:val="single" w:color="AAAAAA" w:sz="4"/>
              <w:right w:val="none" w:color="FFFFFF" w:sz="0"/>
            </w:tcBorders>
            <w:tcMar>
              <w:top w:type="dxa" w:w="80"/>
              <w:left w:type="dxa" w:w="80"/>
              <w:bottom w:type="dxa" w:w="80"/>
              <w:right w:type="dxa" w:w="0"/>
            </w:tcMar>
          </w:tcPr>
          <w:p>
            <w:r>
              <w:rPr>
                <w:rFonts w:ascii="Arial" w:cs="Arial" w:eastAsia="Arial" w:hAnsi="Arial"/>
                <w:i/>
                <w:iCs/>
                <w:color w:val="999999"/>
                <w:sz w:val="20"/>
                <w:szCs w:val="20"/>
              </w:rPr>
              <w:t xml:space="preserve"/>
            </w:r>
          </w:p>
        </w:tc>
      </w:tr>
    </w:tbl>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1. Title</w:t>
      </w:r>
    </w:p>
    <w:p>
      <w:pPr>
        <w:spacing w:after="120" w:before="80"/>
      </w:pPr>
      <w:r>
        <w:rPr>
          <w:rFonts w:ascii="Arial" w:cs="Arial" w:eastAsia="Arial" w:hAnsi="Arial"/>
          <w:b w:val="false"/>
          <w:bCs w:val="false"/>
          <w:color w:val="2C2C2C"/>
          <w:sz w:val="20"/>
          <w:szCs w:val="20"/>
        </w:rPr>
        <w:t xml:space="preserve">Lebanon Conflict Analysis: A Comprehensive Assessment for Strategic Planning</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2. Executive Summary</w:t>
      </w:r>
    </w:p>
    <w:p>
      <w:pPr>
        <w:spacing w:after="120" w:before="80"/>
      </w:pPr>
      <w:r>
        <w:rPr>
          <w:rFonts w:ascii="Arial" w:cs="Arial" w:eastAsia="Arial" w:hAnsi="Arial"/>
          <w:b w:val="false"/>
          <w:bCs w:val="false"/>
          <w:color w:val="2C2C2C"/>
          <w:sz w:val="20"/>
          <w:szCs w:val="20"/>
        </w:rPr>
        <w:t xml:space="preserve">&lt;p&gt;The ongoing Lebanon conflict represents one of the most complex and enduring challenges in Middle Eastern geopolitics, with profound implications for regional stability and international security. This analytical assessment reveals that the current crisis stems from a convergence of historical grievances, sectarian divisions, economic collapse, and geopolitical competition that has created a multifaceted conflict requiring nuanced understanding for effective strategic planning.&lt;/p&gt;&lt;p&gt;&lt;strong&gt;Key findings indicate that Lebanon's crisis is fundamentally systemic&lt;/strong&gt;, rooted in a confessional political system that has failed to adapt to changing demographics and regional dynamics. The conflict encompasses multiple dimensions: internal political paralysis, economic breakdown with hyperinflation exceeding 3,000%, proxy warfare between regional powers, and the collapse of essential services affecting over 80% of the population.&lt;/p&gt;&lt;p&gt;The strategic implications extend far beyond Lebanon's borders, affecting regional migration patterns, sectarian balance across the Levant, and the stability of neighboring states. &lt;em&gt;Understanding these interconnected complexities is essential for informed decision-making&lt;/em&gt; regarding diplomatic engagement, humanitarian assistance, and regional security considerations.&lt;/p&gt;&lt;p&gt;This analysis emphasizes that traditional conflict resolution approaches may be insufficient given the unique confluence of domestic weakness and regional proxy dynamics. The situation demands a comprehensive framework that addresses both immediate humanitarian concerns and long-term structural reforms while navigating competing regional interests and international stakeholder priorities.&lt;/p&gt;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3. Historical Context</w:t>
      </w:r>
    </w:p>
    <w:p>
      <w:pPr>
        <w:spacing w:after="120" w:before="80"/>
      </w:pPr>
      <w:r>
        <w:rPr>
          <w:rFonts w:ascii="Arial" w:cs="Arial" w:eastAsia="Arial" w:hAnsi="Arial"/>
          <w:b w:val="false"/>
          <w:bCs w:val="false"/>
          <w:color w:val="2C2C2C"/>
          <w:sz w:val="20"/>
          <w:szCs w:val="20"/>
        </w:rPr>
        <w:t xml:space="preserve">&lt;p&gt;The roots of Lebanon's current conflict trace back to the complex sectarian arrangement established during the French Mandate (1920-1943) and formalized in the National Pact of 1943. This confessional system, designed to balance power among Lebanon's diverse religious communities, allocated political positions based on demographic surveys that became increasingly outdated over subsequent decades.&lt;/p&gt;&lt;p&gt;The 1975-1990 civil war fundamentally altered Lebanon's political landscape, introducing new actors and deepening sectarian divisions while establishing patterns of external intervention that persist today. &lt;strong&gt;The Taif Agreement of 1989&lt;/strong&gt;, which formally ended the civil war, attempted to rebalance sectarian representation but failed to address underlying structural issues or the growing influence of non-state actors, particularly Hezbollah.&lt;/p&gt;&lt;p&gt;Post-war reconstruction under Prime Minister Rafik Hariri's leadership created a rentier economic model heavily dependent on Gulf capital and remittances, while failing to build productive economic capacity. The 2005 Cedar Revolution, triggered by Hariri's assassination, temporarily unified opposition to Syrian influence but ultimately reinforced sectarian polarization between March 8 and March 14 coalitions.&lt;/p&gt;&lt;p&gt;The 2006 war with Israel, Syria's withdrawal and subsequent return of influence, and the spillover effects of the Arab Spring and Syrian civil war have continuously destabilized Lebanon's fragile equilibrium. &lt;em&gt;Each crisis has weakened state institutions while strengthening non-state actors&lt;/em&gt;, creating a pattern of recurring instability that has culminated in the current comprehensive breakdown.&lt;/p&gt;&lt;p&gt;The economic model's sustainability began eroding after 2011, as regional instability reduced Gulf investments and the Syrian refugee crisis (hosting over 1.5 million refugees) strained resources. By 2019, the system faced complete collapse, triggering the October Revolution protests that, while initially cross-sectarian, ultimately reinforced existing political divisions due to the entrenched nature of the confessional system.&lt;/p&gt;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4. Current Situation</w:t>
      </w:r>
    </w:p>
    <w:p>
      <w:pPr>
        <w:spacing w:after="120" w:before="80"/>
      </w:pPr>
      <w:r>
        <w:rPr>
          <w:rFonts w:ascii="Arial" w:cs="Arial" w:eastAsia="Arial" w:hAnsi="Arial"/>
          <w:b w:val="false"/>
          <w:bCs w:val="false"/>
          <w:color w:val="2C2C2C"/>
          <w:sz w:val="20"/>
          <w:szCs w:val="20"/>
        </w:rPr>
        <w:t xml:space="preserve">&lt;p&gt;Lebanon currently faces an unprecedented multidimensional crisis that has effectively rendered the state dysfunctional across most governance domains. The economic collapse, beginning in late 2019, has resulted in the Lebanese pound losing over 95% of its value, making Lebanon's crisis among the worst economic collapses globally since the 19th century according to World Bank assessments.&lt;/p&gt;&lt;p&gt;&lt;strong&gt;Political paralysis has reached critical levels&lt;/strong&gt;, with the presidency remaining vacant for extended periods and the government operating in caretaker capacity. The October 2022 presidential election process highlighted the depth of institutional breakdown, as Parliament has repeatedly failed to achieve quorum or consensus on candidates, reflecting deeper disagreements over Lebanon's regional alignment and internal reforms.&lt;/p&gt;&lt;p&gt;The humanitarian situation has deteriorated dramatically, with over 80% of the population living below the poverty line and essential services including electricity, water, and healthcare operating at minimal capacity. Public sector strikes have become routine as government salaries have lost most purchasing power, while brain drain accelerates as professionals emigrate at unprecedented rates.&lt;/p&gt;&lt;p&gt;Security dynamics have become increasingly complex, with Hezbollah maintaining de facto control over southern Lebanon and the Bekaa Valley, while state security forces struggle with funding and equipment shortages. &lt;em&gt;The August 2020 Beirut port explosion&lt;/em&gt;, which killed over 200 people and caused billions in damages, exemplified state negligence while investigations have been repeatedly obstructed by political interference.&lt;/p&gt;&lt;p&gt;Regional tensions significantly impact daily governance, particularly regarding Syrian refugee policy, border security with Israel, and maritime boundary disputes. The ongoing normalization of relations between some Arab states and Israel has created additional pressure on Lebanon's resistance axis positioning, while economic desperation has led to increased emigration attempts via dangerous sea routes to Europe.&lt;/p&gt;&lt;p&gt;International engagement remains fragmented, with different stakeholders supporting competing visions for Lebanon's future. While France leads European diplomatic efforts and the United States maintains sanctions pressure on Hezbollah networks, Gulf states have largely withdrawn financial support pending comprehensive reforms that appear politically unfeasible under current conditions.&lt;/p&gt;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5. Key Complexities</w:t>
      </w:r>
    </w:p>
    <w:p>
      <w:pPr>
        <w:spacing w:after="120" w:before="80"/>
      </w:pPr>
      <w:r>
        <w:rPr>
          <w:rFonts w:ascii="Arial" w:cs="Arial" w:eastAsia="Arial" w:hAnsi="Arial"/>
          <w:b w:val="false"/>
          <w:bCs w:val="false"/>
          <w:color w:val="2C2C2C"/>
          <w:sz w:val="20"/>
          <w:szCs w:val="20"/>
        </w:rPr>
        <w:t xml:space="preserve">&lt;p&gt;The Lebanon conflict's complexity stems from the intersection of multiple structural and dynamic factors that create a web of interdependent challenges resistant to conventional resolution approaches. &lt;strong&gt;The confessional political system&lt;/strong&gt; represents the core structural complexity, as it institutionalizes sectarian identity while creating veto powers that prevent necessary reforms, yet any attempt to modify this system risks triggering existential fears among communities who view it as protection against demographic marginalization.&lt;/p&gt;&lt;p&gt;Hezbollah's dual nature as both a legitimate political party and an armed non-state actor creates unprecedented complexity in governance and sovereignty. The organization's military capabilities exceed those of the Lebanese Armed Forces, while its social services network provides essential support to Shia communities, making any confrontation potentially catastrophic for state stability while accommodation undermines sovereignty and attracts international sanctions.&lt;/p&gt;&lt;p&gt;&lt;em&gt;Economic complexity arises from the intersection of political paralysis and structural dependence&lt;/em&gt; on external financing, remittances, and services sector activity. The banking system's collapse has eliminated the primary mechanism for economic management, while the informal economy's growth has reduced state revenue precisely when reconstruction needs are greatest. Currency instability has made long-term planning impossible while creating winners and losers that further polarize society.&lt;/p&gt;&lt;p&gt;Regional proxy dynamics add another layer of complexity, as Lebanon serves as a theater for broader Middle Eastern competitions between Iran and its adversaries, Syria and international actors, and competing visions of regional order. These external influences often override domestic preferences while providing resources that enable continued dysfunction by reducing immediate collapse pressures.&lt;/p&gt;&lt;p&gt;The demographic complexity involves not only traditional sectarian balance concerns but also the impact of Syrian and Palestinian refugee populations that have altered local dynamics while creating additional service delivery challenges. &lt;strong&gt;Generational change&lt;/strong&gt; within sectarian communities has created new political aspirations that existing leadership structures struggle to accommodate, while emigration of educated youth reduces capacity for positive change.&lt;/p&gt;&lt;p&gt;International engagement complexity stems from competing objectives among external stakeholders, with humanitarian imperatives often conflicting with political conditionalities, while sanctions regimes intended to pressure specific actors frequently harm broader populations. The mismatch between international timeline expectations and the deep-rooted nature of structural problems creates additional tensions that complicate assistance delivery and reform implementation.&lt;/p&gt;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6. Strategic Implications</w:t>
      </w:r>
    </w:p>
    <w:p>
      <w:pPr>
        <w:spacing w:after="120" w:before="80"/>
      </w:pPr>
      <w:r>
        <w:rPr>
          <w:rFonts w:ascii="Arial" w:cs="Arial" w:eastAsia="Arial" w:hAnsi="Arial"/>
          <w:b w:val="false"/>
          <w:bCs w:val="false"/>
          <w:color w:val="2C2C2C"/>
          <w:sz w:val="20"/>
          <w:szCs w:val="20"/>
        </w:rPr>
        <w:t xml:space="preserve">&lt;p&gt;The Lebanon conflict's strategic implications extend across multiple domains of regional and international security, creating ripple effects that influence broader Middle Eastern stability and global economic networks. &lt;strong&gt;Regional migration dynamics&lt;/strong&gt; represent perhaps the most immediate strategic concern, as Lebanon's collapse has accelerated emigration flows toward Europe while potentially triggering secondary displacement of Syrian refugees, creating new pressures on neighboring states already managing significant refugee populations.&lt;/p&gt;&lt;p&gt;The conflict directly impacts the strategic balance in the Levant, as Lebanon's weakness creates opportunities for proxy warfare while potentially altering the regional correlation of forces. Hezbollah's evolution during the Syrian civil war has enhanced its regional capabilities while deepening its integration with Iranian strategic objectives, making Lebanon increasingly central to broader regional confrontations between Iran and its adversaries, including Israel and Gulf states.&lt;/p&gt;&lt;p&gt;&lt;em&gt;Economic implications cascade beyond Lebanon's borders&lt;/em&gt; through banking networks, trade relationships, and remittance flows that connect Lebanese diaspora communities across the globe. The collapse of Lebanese banks has affected correspondent banking relationships throughout the region while creating new channels for illicit financial flows that complicate anti-money laundering and counter-terrorism financing efforts.&lt;/p&gt;&lt;p&gt;The humanitarian crisis has strategic implications for international organizations and donor countries, as traditional humanitarian frameworks prove inadequate for addressing state-level collapse in strategically sensitive locations. The intersection of humanitarian needs with security concerns creates complex operational environments that challenge conventional assistance delivery while potentially creating long-term dependency relationships.&lt;/p&gt;&lt;p&gt;&lt;strong&gt;Maritime security implications&lt;/strong&gt; have gained prominence through Lebanon's energy exploration activities and maritime boundary disputes with Israel, while the collapse of state capacity has reduced maritime domain awareness and interdiction capabilities. These developments affect broader Eastern Mediterranean energy security while creating new vectors for smuggling and irregular migration.&lt;/p&gt;&lt;p&gt;The conflict's implications for democratization and governance extend throughout the region, as Lebanon's experience with consociational democracy under stress provides lessons for other diverse societies while demonstrating the limitations of sectarian power-sharing arrangements. The October Revolution's trajectory offers insights into the challenges facing cross-sectarian movements in deeply divided societies while highlighting the resilience of established political networks.&lt;/p&gt;&lt;p&gt;International legal implications arise from state failure scenarios, including questions about treaty obligations, sovereignty principles, and responsibility to protect applications. Lebanon's case tests international frameworks for addressing state weakness while maintaining respect for sovereignty principles, creating precedents that may influence approaches to similar situations elsewhere.&lt;/p&gt;</w:t>
      </w:r>
    </w:p>
    <w:p>
      <w:pPr>
        <w:spacing w:after="80"/>
      </w:pPr>
      <w:r>
        <w:t xml:space="preserve"/>
      </w:r>
    </w:p>
    <w:p>
      <w:pPr>
        <w:spacing w:after="80"/>
      </w:pPr>
      <w:r>
        <w:t xml:space="preserve"/>
      </w:r>
    </w:p>
    <w:p>
      <w:pPr>
        <w:pStyle w:val="Heading1"/>
        <w:pBdr>
          <w:bottom w:val="single" w:color="2E75B6" w:sz="6" w:space="4"/>
        </w:pBdr>
        <w:spacing w:after="160" w:before="360"/>
      </w:pPr>
      <w:r>
        <w:rPr>
          <w:rFonts w:ascii="Arial" w:cs="Arial" w:eastAsia="Arial" w:hAnsi="Arial"/>
          <w:b/>
          <w:bCs/>
          <w:color w:val="1F4E79"/>
          <w:sz w:val="28"/>
          <w:szCs w:val="28"/>
        </w:rPr>
        <w:t xml:space="preserve">7. Conclusion</w:t>
      </w:r>
    </w:p>
    <w:p>
      <w:pPr>
        <w:spacing w:after="120" w:before="80"/>
      </w:pPr>
      <w:r>
        <w:rPr>
          <w:rFonts w:ascii="Arial" w:cs="Arial" w:eastAsia="Arial" w:hAnsi="Arial"/>
          <w:b w:val="false"/>
          <w:bCs w:val="false"/>
          <w:color w:val="2C2C2C"/>
          <w:sz w:val="20"/>
          <w:szCs w:val="20"/>
        </w:rPr>
        <w:t xml:space="preserve">&lt;p&gt;The Lebanon conflict analysis reveals a crisis of exceptional complexity that defies simple categorization or conventional resolution approaches, requiring strategic thinking that acknowledges the fundamental interconnection between domestic breakdown and regional competition. &lt;strong&gt;The critical insight for decision-making&lt;/strong&gt; is that Lebanon's situation represents not merely a temporary crisis but a systemic transformation that has permanently altered the state's capacity and regional role, necessitating adaptive strategies rather than restoration-focused approaches.&lt;/p&gt;&lt;p&gt;Understanding Lebanon's crisis as fundamentally systemic rather than cyclical has profound implications for engagement strategies, suggesting that traditional diplomatic and humanitarian frameworks may be insufficient without parallel efforts to address structural governance challenges and regional proxy dynamics. &lt;em&gt;The confessional system's inability to adapt to changing circumstances&lt;/em&gt; indicates that sustainable solutions must either transform or transcend existing institutional arrangements, both of which carry significant risks in deeply divided societies.&lt;/p&gt;&lt;p&gt;The strategic imperative for stakeholders involves balancing immediate humanitarian concerns with long-term stability objectives while navigating competing regional interests that often override domestic preferences. The analysis suggests that effective engagement requires sustained commitment over extended timeframes, as quick fixes are likely to prove counterproductive given the depth of structural challenges and the interconnected nature of political, economic, and security dimensions.&lt;/p&gt;&lt;p&gt;&lt;strong&gt;Key decision-making considerations&lt;/strong&gt; include recognition that Lebanon's trajectory will significantly influence regional stability patterns, that humanitarian assistance must be designed to avoid reinforcing dysfunctional governance patterns, and that any sustainable resolution requires addressing both domestic institutional reform and regional security architecture challenges simultaneously. The complexity analysis indicates that success will require unprecedented coordination among international stakeholders while maintaining flexibility to adapt to rapidly changing local dynamics.&lt;/p&gt;&lt;p&gt;For strategic planning purposes, the Lebanon case demonstrates the limitations of traditional state-centric approaches in contexts where non-state actors exercise de facto authority while highlighting the importance of understanding how local dynamics interact with broader regional and global trends. &lt;em&gt;The ultimate strategic insight&lt;/em&gt; is that Lebanon's future will be determined by the intersection of domestic agency and regional competition, requiring engagement strategies that enhance positive domestic forces while managing negative external influences through comprehensive regional dialogue and security arrangements.&lt;/p&gt;</w:t>
      </w:r>
    </w:p>
    <w:p>
      <w:pPr>
        <w:spacing w:after="80"/>
      </w:pPr>
      <w:r>
        <w:t xml:space="preserve"/>
      </w:r>
    </w:p>
    <w:p>
      <w:pPr>
        <w:spacing w:after="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20"/>
    </w:pPr>
    <w:r>
      <w:rPr>
        <w:rFonts w:ascii="Arial" w:cs="Arial" w:eastAsia="Arial" w:hAnsi="Arial"/>
        <w:color w:val="999999"/>
        <w:sz w:val="16"/>
        <w:szCs w:val="16"/>
      </w:rPr>
      <w:t xml:space="preserve">Lebanon Conflict Analysis: A Comprehensive Assessment for Strategic Planning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720"/>
      <w:gridCol w:w="3000"/>
    </w:tblGrid>
    <w:tr>
      <w:tc>
        <w:tcPr>
          <w:tcW w:type="dxa" w:w="6720"/>
          <w:tcBorders>
            <w:top w:val="none" w:color="FFFFFF" w:sz="0"/>
            <w:left w:val="none" w:color="FFFFFF" w:sz="0"/>
            <w:bottom w:val="single" w:color="2E75B6" w:sz="8"/>
            <w:right w:val="none" w:color="FFFFFF" w:sz="0"/>
          </w:tcBorders>
          <w:tcMar>
            <w:top w:type="dxa" w:w="60"/>
            <w:left w:type="dxa" w:w="0"/>
            <w:bottom w:type="dxa" w:w="60"/>
            <w:right w:type="dxa" w:w="120"/>
          </w:tcMar>
        </w:tcPr>
        <w:p>
          <w:r>
            <w:rPr>
              <w:rFonts w:ascii="Arial" w:cs="Arial" w:eastAsia="Arial" w:hAnsi="Arial"/>
              <w:b/>
              <w:bCs/>
              <w:color w:val="1F4E79"/>
              <w:sz w:val="24"/>
              <w:szCs w:val="24"/>
            </w:rPr>
            <w:t xml:space="preserve">LEBANON CONFLICT ANALYSIS: A COMPREHENSIVE ASSESSMENT FOR STRATEGIC PLANNING</w:t>
          </w:r>
        </w:p>
        <w:p>
          <w:r>
            <w:rPr>
              <w:rFonts w:ascii="Arial" w:cs="Arial" w:eastAsia="Arial" w:hAnsi="Arial"/>
              <w:color w:val="666666"/>
              <w:sz w:val="18"/>
              <w:szCs w:val="18"/>
            </w:rPr>
            <w:t xml:space="preserve">Professional Custom Presentation</w:t>
          </w:r>
        </w:p>
      </w:tc>
      <w:tc>
        <w:tcPr>
          <w:tcW w:type="dxa" w:w="3000"/>
          <w:tcBorders>
            <w:top w:val="none" w:color="FFFFFF" w:sz="0"/>
            <w:left w:val="none" w:color="FFFFFF" w:sz="0"/>
            <w:bottom w:val="single" w:color="2E75B6" w:sz="8"/>
            <w:right w:val="none" w:color="FFFFFF" w:sz="0"/>
          </w:tcBorders>
          <w:tcMar>
            <w:top w:type="dxa" w:w="60"/>
            <w:left w:type="dxa" w:w="120"/>
            <w:bottom w:type="dxa" w:w="60"/>
            <w:right w:type="dxa" w:w="0"/>
          </w:tcMar>
          <w:vAlign w:val="bottom"/>
        </w:tcPr>
        <w:p>
          <w:pPr>
            <w:jc w:val="right"/>
          </w:pPr>
          <w:r>
            <w:rPr>
              <w:rFonts w:ascii="Arial" w:cs="Arial" w:eastAsia="Arial" w:hAnsi="Arial"/>
              <w:i/>
              <w:iCs/>
              <w:color w:val="999999"/>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2026-05-04T22:28:32.874Z</dcterms:created>
  <dcterms:modified xsi:type="dcterms:W3CDTF">2026-05-04T22:28:32.874Z</dcterms:modified>
</cp:coreProperties>
</file>

<file path=docProps/custom.xml><?xml version="1.0" encoding="utf-8"?>
<Properties xmlns="http://schemas.openxmlformats.org/officeDocument/2006/custom-properties" xmlns:vt="http://schemas.openxmlformats.org/officeDocument/2006/docPropsVTypes"/>
</file>