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Student Performance Benchmarking Report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&lt;h2&gt;Executive Summary&lt;/h2&gt;&lt;p&gt;This comprehensive benchmarking report presents a detailed analysis of our institution's student performance metrics compared to peer institutions and industry standards. Through rigorous data analysis spanning academic years 2021-2023, we have identified critical areas of strength and opportunities for enhancement in student success outcomes.&lt;/p&gt;&lt;p&gt;Our assessment reveals that while our institution demonstrates strong performance in several key metrics, including first-year retention rates at 87% and graduation rates at 72%, significant gaps exist in areas such as time-to-degree completion and post-graduation employment outcomes. Compared to our peer group, we lag approximately 8 percentage points in four-year graduation rates and 12 percentage points in career placement within six months of graduation.&lt;/p&gt;&lt;p&gt;The analysis indicates that targeted interventions in academic support services, career counseling, and experiential learning opportunities could yield substantial improvements in overall student success metrics. Our data-driven approach has identified specific student populations that would benefit most from enhanced support systems, particularly first-generation college students and those in STEM disciplines.&lt;/p&gt;&lt;p&gt;This report recommends a multi-phase implementation strategy focusing on immediate interventions in academic advising, medium-term investments in career services infrastructure, and long-term curriculum enhancements. With proper resource allocation and strategic focus, we project a 15% improvement in key performance indicators within three academic years, positioning our institution among the top quartile of our peer group.&lt;/p&gt;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Methodology</w:t>
      </w:r>
    </w:p>
    <w:p>
      <w:pPr>
        <w:spacing w:after="120" w:before="80"/>
      </w:pPr>
      <w:r>
        <w:rPr>
          <w:rFonts w:ascii="Arial" w:cs="Arial" w:eastAsia="Arial" w:hAnsi="Arial"/>
          <w:b w:val="false"/>
          <w:bCs w:val="false"/>
          <w:color w:val="2C2C2C"/>
          <w:sz w:val="20"/>
          <w:szCs w:val="20"/>
        </w:rPr>
        <w:t xml:space="preserve">&lt;h2&gt;Benchmarking Methodology&lt;/h2&gt;&lt;p&gt;Our benchmarking analysis employed a comprehensive mixed-methods approach, combining quantitative performance metrics with qualitative assessment frameworks to provide a holistic view of student success outcomes. The study utilized data from multiple sources, including our institutional research database, National Student Clearinghouse records, alumni surveys, and employer feedback systems collected over a three-year period from 2021 to 2023.&lt;/p&gt;&lt;p&gt;The peer comparison group was carefully selected based on institutional characteristics including enrollment size, academic profile, geographic region, and student demographic composition. Our benchmark cohort includes twelve institutions with similar Carnegie classifications, representing both public and private universities with comparable missions and student populations. This selection ensures meaningful comparisons while accounting for contextual factors that influence student outcomes.&lt;/p&gt;&lt;p&gt;Key performance indicators were organized into four primary categories: &lt;strong&gt;Academic Progress&lt;/strong&gt; (retention rates, GPA trends, credit completion), &lt;strong&gt;Graduation Outcomes&lt;/strong&gt; (time-to-degree, completion rates by demographic groups), &lt;strong&gt;Post-Graduation Success&lt;/strong&gt; (employment rates, graduate school enrollment, salary outcomes), and &lt;strong&gt;Student Satisfaction&lt;/strong&gt; (engagement surveys, alumni feedback, employer ratings). Each metric was standardized using industry-accepted methodologies to ensure accurate cross-institutional comparisons.&lt;/p&gt;&lt;p&gt;Data validation procedures included cross-referencing with external databases, statistical significance testing, and consultation with institutional research professionals at peer institutions. The analysis incorporated demographic disaggregation to identify performance disparities among different student populations, with particular attention to traditionally underserved groups including first-generation students, underrepresented minorities, and students from low-income backgrounds.&lt;/p&gt;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Current Performance Analysis</w:t>
      </w:r>
    </w:p>
    <w:p>
      <w:pPr>
        <w:spacing w:after="120" w:before="80"/>
      </w:pPr>
      <w:r>
        <w:rPr>
          <w:rFonts w:ascii="Arial" w:cs="Arial" w:eastAsia="Arial" w:hAnsi="Arial"/>
          <w:b w:val="false"/>
          <w:bCs w:val="false"/>
          <w:color w:val="2C2C2C"/>
          <w:sz w:val="20"/>
          <w:szCs w:val="20"/>
        </w:rPr>
        <w:t xml:space="preserve">&lt;h2&gt;Current Performance Analysis&lt;/h2&gt;&lt;p&gt;Our institutional performance analysis reveals a complex landscape of student success outcomes with notable strengths and areas requiring attention. First-year retention rates have remained consistently strong at 87% over the past three years, exceeding the national average of 81% for similar institutions. This indicates effective orientation programs and early student support systems that successfully engage incoming students during their critical first year of enrollment.&lt;/p&gt;&lt;p&gt;Academic performance metrics show encouraging trends in overall student achievement, with the institutional cumulative GPA maintaining stability at 3.2 across all undergraduate programs. However, significant variations exist across different schools and departments, with STEM disciplines showing lower average GPAs (2.9) compared to liberal arts programs (3.4). Credit completion rates average 89% semester-over-semester, suggesting that students are generally meeting academic expectations and progressing toward degree completion.&lt;/p&gt;&lt;p&gt;Graduation outcomes present a mixed picture of institutional effectiveness. Our six-year graduation rate of 72% represents steady improvement from 68% three years ago, demonstrating positive momentum in degree completion support. However, time-to-degree completion averages 4.8 years for bachelor's degree programs, indicating opportunities for enhanced academic planning and support services. Demographic analysis reveals concerning disparities, with first-generation students showing graduation rates 15 percentage points lower than their peers.&lt;/p&gt;&lt;p&gt;Post-graduation outcomes highlight areas of institutional strength and challenge. Alumni employment rates within six months of graduation stand at 78%, with starting salaries averaging $52,000 annually across all disciplines. Graduate school enrollment rates of 23% demonstrate strong academic preparation, though employer satisfaction surveys indicate gaps in practical skills and professional readiness among recent graduates. These findings suggest the need for enhanced career preparation and experiential learning opportunities throughout the undergraduate experience.&lt;/p&gt;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Benchmark Comparisons</w:t>
      </w:r>
    </w:p>
    <w:p>
      <w:pPr>
        <w:spacing w:after="120" w:before="80"/>
      </w:pPr>
      <w:r>
        <w:rPr>
          <w:rFonts w:ascii="Arial" w:cs="Arial" w:eastAsia="Arial" w:hAnsi="Arial"/>
          <w:b w:val="false"/>
          <w:bCs w:val="false"/>
          <w:color w:val="2C2C2C"/>
          <w:sz w:val="20"/>
          <w:szCs w:val="20"/>
        </w:rPr>
        <w:t xml:space="preserve">&lt;h2&gt;Benchmark Comparisons&lt;/h2&gt;&lt;p&gt;Comparative analysis against our peer institution cohort reveals both competitive advantages and significant performance gaps that require strategic attention. Our first-year retention rate of 87% positions us in the upper quartile of our benchmark group, where the median retention rate stands at 83%. This strong performance reflects effective student support systems and institutional culture that successfully engages new students during their transition to college-level academics.&lt;/p&gt;&lt;p&gt;However, graduation rate comparisons reveal concerning gaps in our institutional effectiveness. Our six-year graduation rate of 72% falls below the peer group median of 76%, with top-performing institutions in our cohort achieving rates of 82-85%. More critically, our four-year graduation rate of 64% lags the peer average of 72% by eight percentage points, indicating systemic issues in degree completion pathways and academic support services that extend beyond the first year of enrollment.&lt;/p&gt;&lt;p&gt;Time-to-degree analysis shows our average completion time of 4.8 years exceeds the peer group average of 4.5 years, directly impacting student financial burden and career readiness. Top-performing peer institutions achieve average completion times of 4.2-4.3 years, suggesting that strategic interventions in academic advising and course scheduling could yield substantial improvements in this critical metric.&lt;/p&gt;&lt;p&gt;Post-graduation employment outcomes present the most significant performance gap in our benchmark analysis. Our six-month employment rate of 78% falls substantially below the peer median of 85%, with leading institutions achieving rates of 90-92%. Starting salary comparisons show our graduates earning approximately 8% less than the peer group average, indicating potential gaps in career preparation, industry connections, and practical skill development that diminish our graduates' market competitiveness.&lt;/p&gt;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Key Findings</w:t>
      </w:r>
    </w:p>
    <w:p>
      <w:pPr>
        <w:spacing w:after="120" w:before="80"/>
      </w:pPr>
      <w:r>
        <w:rPr>
          <w:rFonts w:ascii="Arial" w:cs="Arial" w:eastAsia="Arial" w:hAnsi="Arial"/>
          <w:b w:val="false"/>
          <w:bCs w:val="false"/>
          <w:color w:val="2C2C2C"/>
          <w:sz w:val="20"/>
          <w:szCs w:val="20"/>
        </w:rPr>
        <w:t xml:space="preserve">&lt;h2&gt;Key Findings&lt;/h2&gt;&lt;p&gt;Our comprehensive benchmarking analysis has identified several critical findings that illuminate both institutional strengths and strategic improvement opportunities. Most significantly, we have discovered a substantial performance gap in career preparation and post-graduation outcomes that directly impacts our students' long-term success and institutional reputation. Despite strong academic performance during enrollment, our graduates face employment challenges that suggest systemic issues in career readiness and industry connections.&lt;/p&gt;&lt;p&gt;The data reveals concerning disparities in student success outcomes across different demographic groups, with first-generation college students, underrepresented minorities, and students from low-income backgrounds experiencing substantially lower graduation rates and longer time-to-degree completion. These equity gaps not only impact individual student success but also represent missed opportunities for institutional excellence and community impact.&lt;/p&gt;&lt;p&gt;Academic support service utilization patterns indicate that current resources are underutilized by students who would benefit most from intervention. Only 34% of students with GPAs below 2.5 actively engage with tutoring services, and just 28% of undecided majors participate in academic planning workshops. This suggests that our support systems, while well-intentioned, may not be effectively reaching students who need assistance most.&lt;/p&gt;&lt;p&gt;A critical finding emerges regarding the disconnect between academic achievement and career preparation. While our students demonstrate strong classroom performance, employer feedback consistently highlights gaps in practical skills, professional communication, and industry-relevant experience. This mismatch between academic preparation and workforce demands explains much of our post-graduation employment gap compared to peer institutions.&lt;/p&gt;&lt;p&gt;Finally, our analysis reveals that peer institutions with superior outcomes have invested significantly in integrated career services, experiential learning programs, and data-driven student success initiatives. These institutions demonstrate 15-20% higher investment per student in career preparation and student support services, suggesting that resource allocation decisions directly impact competitive positioning and student outcomes.&lt;/p&gt;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Recommendations</w:t>
      </w:r>
    </w:p>
    <w:p>
      <w:pPr>
        <w:spacing w:after="120" w:before="80"/>
      </w:pPr>
      <w:r>
        <w:rPr>
          <w:rFonts w:ascii="Arial" w:cs="Arial" w:eastAsia="Arial" w:hAnsi="Arial"/>
          <w:b w:val="false"/>
          <w:bCs w:val="false"/>
          <w:color w:val="2C2C2C"/>
          <w:sz w:val="20"/>
          <w:szCs w:val="20"/>
        </w:rPr>
        <w:t xml:space="preserve">&lt;h2&gt;Strategic Recommendations&lt;/h2&gt;&lt;p&gt;Based on our comprehensive benchmarking analysis, we recommend implementing a multi-faceted student success enhancement strategy that addresses identified performance gaps while building upon existing institutional strengths. The primary recommendation involves establishing an integrated career readiness initiative that embeds professional development throughout the undergraduate experience, rather than treating career preparation as a final-year activity.&lt;/p&gt;&lt;p&gt;We strongly recommend expanding academic support services with targeted interventions for high-risk student populations. This includes implementing predictive analytics to identify students at risk of academic difficulty, creating specialized support programs for first-generation college students, and establishing mandatory academic planning checkpoints at key degree milestones. Research from peer institutions demonstrates that proactive intervention strategies can improve retention rates by 8-12 percentage points within two academic years.&lt;/p&gt;&lt;p&gt;The establishment of a comprehensive experiential learning requirement should be prioritized to address the gap between academic preparation and workforce readiness. This initiative should include mandatory internship programs, service-learning opportunities, undergraduate research experiences, and industry partnership projects. Peer institutions with strong employment outcomes typically require 2-3 experiential learning experiences per undergraduate degree program.&lt;/p&gt;&lt;p&gt;Investment in enhanced career services infrastructure represents a critical need, including expanded employer relations programs, alumni mentorship networks, and industry-specific career counseling. We recommend increasing career services staffing by 40% and establishing dedicated career coordinators for each academic school to provide specialized support aligned with industry requirements and graduate outcomes expectations.&lt;/p&gt;&lt;p&gt;Finally, we recommend implementing a comprehensive data analytics platform to enable continuous monitoring of student success metrics and early intervention capabilities. This system should integrate academic performance data, student engagement metrics, and post-graduation outcomes to provide real-time insights for student support services and institutional decision-making. Such systems have proven effective at peer institutions in improving graduation rates by 10-15% within three years of implementation.&lt;/p&gt;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Implementation Roadmap</w:t>
      </w:r>
    </w:p>
    <w:p>
      <w:pPr>
        <w:spacing w:after="120" w:before="80"/>
      </w:pPr>
      <w:r>
        <w:rPr>
          <w:rFonts w:ascii="Arial" w:cs="Arial" w:eastAsia="Arial" w:hAnsi="Arial"/>
          <w:b w:val="false"/>
          <w:bCs w:val="false"/>
          <w:color w:val="2C2C2C"/>
          <w:sz w:val="20"/>
          <w:szCs w:val="20"/>
        </w:rPr>
        <w:t xml:space="preserve">&lt;h2&gt;Implementation Roadmap&lt;/h2&gt;&lt;p&gt;&lt;strong&gt;Phase 1: Immediate Actions (Months 1-6)&lt;/strong&gt;&lt;br&gt;Launch the student success task force with representatives from academic affairs, student services, and institutional research to oversee implementation coordination. Immediately implement enhanced academic advising protocols including mandatory mid-semester check-ins for students with GPAs below 3.0 and expanded tutoring service hours during peak academic periods. Begin recruitment for additional career services staff positions and initiate discussions with industry partners for expanded internship opportunities.&lt;/p&gt;&lt;p&gt;&lt;strong&gt;Phase 2: Foundation Building (Months 7-18)&lt;/strong&gt;&lt;br&gt;Deploy predictive analytics software to identify at-risk students and implement targeted intervention programs for first-generation college students and other high-need populations. Establish the experiential learning requirement framework, beginning with pilot programs in selected academic departments. Launch the alumni mentorship network platform and begin systematic employer engagement initiatives to strengthen industry connections and career placement opportunities.&lt;/p&gt;&lt;p&gt;&lt;strong&gt;Phase 3: Program Expansion (Months 19-30)&lt;/strong&gt;&lt;br&gt;Roll out comprehensive experiential learning requirements across all academic programs, ensuring every student completes at least two high-impact experiences before graduation. Fully implement the enhanced career services model with dedicated coordinators for each academic school. Launch the integrated data analytics platform for continuous student success monitoring and begin systematic assessment of intervention effectiveness through outcome tracking and peer comparison analysis.&lt;/p&gt;&lt;p&gt;&lt;strong&gt;Phase 4: Optimization and Assessment (Months 31-36)&lt;/strong&gt;&lt;br&gt;Conduct comprehensive program evaluation using benchmarking metrics established in this report, with particular focus on graduation rates, time-to-degree, and post-graduation employment outcomes. Refine and optimize all implemented initiatives based on performance data and student feedback. Prepare for the next benchmarking cycle to measure progress and identify emerging improvement opportunities in the evolving higher education landscape.&lt;/p&gt;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Conclusion</w:t>
      </w:r>
    </w:p>
    <w:p>
      <w:pPr>
        <w:spacing w:after="120" w:before="80"/>
      </w:pPr>
      <w:r>
        <w:rPr>
          <w:rFonts w:ascii="Arial" w:cs="Arial" w:eastAsia="Arial" w:hAnsi="Arial"/>
          <w:b w:val="false"/>
          <w:bCs w:val="false"/>
          <w:color w:val="2C2C2C"/>
          <w:sz w:val="20"/>
          <w:szCs w:val="20"/>
        </w:rPr>
        <w:t xml:space="preserve">&lt;h2&gt;Conclusion: Pathway to Enhanced Student Success&lt;/h2&gt;&lt;p&gt;This comprehensive benchmarking analysis reveals significant opportunities for our institution to enhance student success outcomes through strategic, data-driven initiatives that address identified performance gaps while leveraging existing institutional strengths. The evidence clearly demonstrates that targeted investments in career preparation, academic support services, and student success infrastructure can yield substantial improvements in graduation rates, time-to-degree completion, and post-graduation employment outcomes.&lt;/p&gt;&lt;p&gt;Our analysis indicates that the gap between current performance and peer institution standards is not insurmountable but requires sustained commitment to systematic improvement and resource allocation aligned with student success priorities. The recommended implementation roadmap provides a realistic pathway for achieving measurable improvements within three academic years, with the potential to position our institution among the top quartile of our peer group in critical success metrics.&lt;/p&gt;&lt;p&gt;The importance of addressing equity gaps in student outcomes cannot be overstated, as these disparities not only impact individual students but also limit our institutional effectiveness and community impact. By implementing targeted support programs for underserved student populations and creating more inclusive pathways to success, we can simultaneously improve overall performance while advancing our institutional mission and values.&lt;/p&gt;&lt;p&gt;Success in implementing these recommendations will require collaborative effort across all divisions of the institution, from academic affairs and student services to advancement and external relations. The integration of career preparation throughout the undergraduate experience, enhanced by strong industry partnerships and experiential learning opportunities, represents a fundamental shift that will benefit students, employers, and the broader community we serve.&lt;/p&gt;&lt;p&gt;We recommend that institutional leadership prioritize these initiatives as strategic investments in student success rather than operational expenses, recognizing that improved outcomes will enhance institutional reputation, alumni engagement, and long-term sustainability. With proper implementation and sustained commitment, our benchmarking analysis projects that these improvements will position our institution as a leader in student success and career preparation within our peer group.&lt;/p&gt;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Student Performance Benchmarking Report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STUDENT PERFORMANCE BENCHMARKING REPORT</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2026-05-04T22:55:17.662Z</dcterms:created>
  <dcterms:modified xsi:type="dcterms:W3CDTF">2026-05-04T22:55:17.662Z</dcterms:modified>
</cp:coreProperties>
</file>

<file path=docProps/custom.xml><?xml version="1.0" encoding="utf-8"?>
<Properties xmlns="http://schemas.openxmlformats.org/officeDocument/2006/custom-properties" xmlns:vt="http://schemas.openxmlformats.org/officeDocument/2006/docPropsVTypes"/>
</file>