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22"/>
          <w:szCs w:val="22"/>
        </w:rPr>
        <w:t xml:space="preserve">DOCUMENT INFORMATION</w:t>
      </w:r>
    </w:p>
    <w:p>
      <w:pPr>
        <w:pBdr>
          <w:bottom w:val="single" w:color="2E75B6" w:sz="6"/>
        </w:pBdr>
        <w:spacing w:after="160" w:before="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Prepared By:</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Date:</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Department:</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Version:</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Document Header</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Title</w:t>
      </w:r>
    </w:p>
    <w:p>
      <w:pPr>
        <w:spacing w:after="120" w:before="80"/>
      </w:pPr>
      <w:r>
        <w:rPr>
          <w:rFonts w:ascii="Arial" w:cs="Arial" w:eastAsia="Arial" w:hAnsi="Arial"/>
          <w:b w:val="false"/>
          <w:bCs w:val="false"/>
          <w:color w:val="2C2C2C"/>
          <w:sz w:val="20"/>
          <w:szCs w:val="20"/>
        </w:rPr>
        <w:t xml:space="preserve">Merchandise Operations Manual</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Subtitle</w:t>
      </w:r>
    </w:p>
    <w:p>
      <w:pPr>
        <w:spacing w:after="120" w:before="80"/>
      </w:pPr>
      <w:r>
        <w:rPr>
          <w:rFonts w:ascii="Arial" w:cs="Arial" w:eastAsia="Arial" w:hAnsi="Arial"/>
          <w:b w:val="false"/>
          <w:bCs w:val="false"/>
          <w:color w:val="2C2C2C"/>
          <w:sz w:val="20"/>
          <w:szCs w:val="20"/>
        </w:rPr>
        <w:t xml:space="preserve">Comprehensive Guide to Strategic Merchandise Management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Version</w:t>
      </w:r>
    </w:p>
    <w:p>
      <w:pPr>
        <w:spacing w:after="120" w:before="80"/>
      </w:pPr>
      <w:r>
        <w:rPr>
          <w:rFonts w:ascii="Arial" w:cs="Arial" w:eastAsia="Arial" w:hAnsi="Arial"/>
          <w:b w:val="false"/>
          <w:bCs w:val="false"/>
          <w:color w:val="2C2C2C"/>
          <w:sz w:val="20"/>
          <w:szCs w:val="20"/>
        </w:rPr>
        <w:t xml:space="preserve">2.1</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Effective Date</w:t>
      </w:r>
    </w:p>
    <w:p>
      <w:pPr>
        <w:spacing w:after="120" w:before="80"/>
      </w:pPr>
      <w:r>
        <w:rPr>
          <w:rFonts w:ascii="Arial" w:cs="Arial" w:eastAsia="Arial" w:hAnsi="Arial"/>
          <w:b w:val="false"/>
          <w:bCs w:val="false"/>
          <w:color w:val="2C2C2C"/>
          <w:sz w:val="20"/>
          <w:szCs w:val="20"/>
        </w:rPr>
        <w:t xml:space="preserve">March 1, 2025</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Department</w:t>
      </w:r>
    </w:p>
    <w:p>
      <w:pPr>
        <w:spacing w:after="120" w:before="80"/>
      </w:pPr>
      <w:r>
        <w:rPr>
          <w:rFonts w:ascii="Arial" w:cs="Arial" w:eastAsia="Arial" w:hAnsi="Arial"/>
          <w:b w:val="false"/>
          <w:bCs w:val="false"/>
          <w:color w:val="2C2C2C"/>
          <w:sz w:val="20"/>
          <w:szCs w:val="20"/>
        </w:rPr>
        <w:t xml:space="preserve">Merchandise Operations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Classification</w:t>
      </w:r>
    </w:p>
    <w:p>
      <w:pPr>
        <w:spacing w:after="120" w:before="80"/>
      </w:pPr>
      <w:r>
        <w:rPr>
          <w:rFonts w:ascii="Arial" w:cs="Arial" w:eastAsia="Arial" w:hAnsi="Arial"/>
          <w:b w:val="false"/>
          <w:bCs w:val="false"/>
          <w:color w:val="2C2C2C"/>
          <w:sz w:val="20"/>
          <w:szCs w:val="20"/>
        </w:rPr>
        <w:t xml:space="preserve">Internal Use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 Executive Summary</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9. Overview</w:t>
      </w:r>
    </w:p>
    <w:p>
      <w:pPr>
        <w:spacing w:after="120" w:before="80"/>
      </w:pPr>
      <w:r>
        <w:rPr>
          <w:rFonts w:ascii="Arial" w:cs="Arial" w:eastAsia="Arial" w:hAnsi="Arial"/>
          <w:b w:val="false"/>
          <w:bCs w:val="false"/>
          <w:color w:val="2C2C2C"/>
          <w:sz w:val="20"/>
          <w:szCs w:val="20"/>
        </w:rPr>
        <w:t xml:space="preserve">&lt;p&gt;This comprehensive Merchandise Operations Manual serves as the definitive guide for streamlining internal understanding and execution of merchandise operations across our organization. The manual establishes standardized processes, performance metrics, and operational frameworks that drive business success through efficient merchandise management. Our commitment to operational excellence requires clear documentation, consistent execution, and continuous improvement of all merchandise-related activities.&lt;/p&gt;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10. Key Objectives</w:t>
      </w:r>
    </w:p>
    <w:p>
      <w:pPr>
        <w:pStyle w:val="ListParagraph"/>
        <w:numPr>
          <w:ilvl w:val="0"/>
          <w:numId w:val="1"/>
        </w:numPr>
        <w:spacing w:after="60" w:before="60"/>
      </w:pPr>
      <w:r>
        <w:rPr>
          <w:rFonts w:ascii="Arial" w:cs="Arial" w:eastAsia="Arial" w:hAnsi="Arial"/>
          <w:color w:val="2C2C2C"/>
          <w:sz w:val="20"/>
          <w:szCs w:val="20"/>
        </w:rPr>
        <w:t xml:space="preserve">Establish standardized merchandise operations processes across all business units</w:t>
      </w:r>
    </w:p>
    <w:p>
      <w:pPr>
        <w:pStyle w:val="ListParagraph"/>
        <w:numPr>
          <w:ilvl w:val="0"/>
          <w:numId w:val="1"/>
        </w:numPr>
        <w:spacing w:after="60" w:before="60"/>
      </w:pPr>
      <w:r>
        <w:rPr>
          <w:rFonts w:ascii="Arial" w:cs="Arial" w:eastAsia="Arial" w:hAnsi="Arial"/>
          <w:color w:val="2C2C2C"/>
          <w:sz w:val="20"/>
          <w:szCs w:val="20"/>
        </w:rPr>
        <w:t xml:space="preserve">Optimize inventory turnover rates and reduce operational inefficiencies by 25%</w:t>
      </w:r>
    </w:p>
    <w:p>
      <w:pPr>
        <w:pStyle w:val="ListParagraph"/>
        <w:numPr>
          <w:ilvl w:val="0"/>
          <w:numId w:val="1"/>
        </w:numPr>
        <w:spacing w:after="60" w:before="60"/>
      </w:pPr>
      <w:r>
        <w:rPr>
          <w:rFonts w:ascii="Arial" w:cs="Arial" w:eastAsia="Arial" w:hAnsi="Arial"/>
          <w:color w:val="2C2C2C"/>
          <w:sz w:val="20"/>
          <w:szCs w:val="20"/>
        </w:rPr>
        <w:t xml:space="preserve">Enhance cross-functional collaboration between merchandising, supply chain, and retail teams</w:t>
      </w:r>
    </w:p>
    <w:p>
      <w:pPr>
        <w:pStyle w:val="ListParagraph"/>
        <w:numPr>
          <w:ilvl w:val="0"/>
          <w:numId w:val="1"/>
        </w:numPr>
        <w:spacing w:after="60" w:before="60"/>
      </w:pPr>
      <w:r>
        <w:rPr>
          <w:rFonts w:ascii="Arial" w:cs="Arial" w:eastAsia="Arial" w:hAnsi="Arial"/>
          <w:color w:val="2C2C2C"/>
          <w:sz w:val="20"/>
          <w:szCs w:val="20"/>
        </w:rPr>
        <w:t xml:space="preserve">Implement data-driven decision making frameworks for merchandise planning and execution</w:t>
      </w:r>
    </w:p>
    <w:p>
      <w:pPr>
        <w:pStyle w:val="ListParagraph"/>
        <w:numPr>
          <w:ilvl w:val="0"/>
          <w:numId w:val="1"/>
        </w:numPr>
        <w:spacing w:after="60" w:before="60"/>
      </w:pPr>
      <w:r>
        <w:rPr>
          <w:rFonts w:ascii="Arial" w:cs="Arial" w:eastAsia="Arial" w:hAnsi="Arial"/>
          <w:color w:val="2C2C2C"/>
          <w:sz w:val="20"/>
          <w:szCs w:val="20"/>
        </w:rPr>
        <w:t xml:space="preserve">Ensure compliance with industry regulations and internal quality standards</w:t>
      </w:r>
    </w:p>
    <w:p>
      <w:pPr>
        <w:pStyle w:val="ListParagraph"/>
        <w:numPr>
          <w:ilvl w:val="0"/>
          <w:numId w:val="1"/>
        </w:numPr>
        <w:spacing w:after="60" w:before="60"/>
      </w:pPr>
      <w:r>
        <w:rPr>
          <w:rFonts w:ascii="Arial" w:cs="Arial" w:eastAsia="Arial" w:hAnsi="Arial"/>
          <w:color w:val="2C2C2C"/>
          <w:sz w:val="20"/>
          <w:szCs w:val="20"/>
        </w:rPr>
        <w:t xml:space="preserve">Develop scalable operations framework to support business growth initiatives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11. Expected Outcomes</w:t>
      </w:r>
    </w:p>
    <w:p>
      <w:pPr>
        <w:spacing w:after="120" w:before="80"/>
      </w:pPr>
      <w:r>
        <w:rPr>
          <w:rFonts w:ascii="Arial" w:cs="Arial" w:eastAsia="Arial" w:hAnsi="Arial"/>
          <w:b w:val="false"/>
          <w:bCs w:val="false"/>
          <w:color w:val="2C2C2C"/>
          <w:sz w:val="20"/>
          <w:szCs w:val="20"/>
        </w:rPr>
        <w:t xml:space="preserve">&lt;p&gt;Implementation of this manual will result in improved operational efficiency, enhanced inventory management, reduced costs through optimized processes, and strengthened collaboration between departments. Teams will demonstrate measurable improvements in key performance indicators, including inventory turnover, order accuracy, and customer satisfaction metrics. The standardized approach will enable consistent execution across all locations while maintaining flexibility for market-specific adaptations.&lt;/p&gt;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12. Critical Success Factors</w:t>
      </w:r>
    </w:p>
    <w:p>
      <w:pPr>
        <w:pStyle w:val="ListParagraph"/>
        <w:numPr>
          <w:ilvl w:val="0"/>
          <w:numId w:val="1"/>
        </w:numPr>
        <w:spacing w:after="60" w:before="60"/>
      </w:pPr>
      <w:r>
        <w:rPr>
          <w:rFonts w:ascii="Arial" w:cs="Arial" w:eastAsia="Arial" w:hAnsi="Arial"/>
          <w:color w:val="2C2C2C"/>
          <w:sz w:val="20"/>
          <w:szCs w:val="20"/>
        </w:rPr>
        <w:t xml:space="preserve">Leadership commitment and active sponsorship of operational transformation initiatives</w:t>
      </w:r>
    </w:p>
    <w:p>
      <w:pPr>
        <w:pStyle w:val="ListParagraph"/>
        <w:numPr>
          <w:ilvl w:val="0"/>
          <w:numId w:val="1"/>
        </w:numPr>
        <w:spacing w:after="60" w:before="60"/>
      </w:pPr>
      <w:r>
        <w:rPr>
          <w:rFonts w:ascii="Arial" w:cs="Arial" w:eastAsia="Arial" w:hAnsi="Arial"/>
          <w:color w:val="2C2C2C"/>
          <w:sz w:val="20"/>
          <w:szCs w:val="20"/>
        </w:rPr>
        <w:t xml:space="preserve">Comprehensive training and development programs for all merchandise operations personnel</w:t>
      </w:r>
    </w:p>
    <w:p>
      <w:pPr>
        <w:pStyle w:val="ListParagraph"/>
        <w:numPr>
          <w:ilvl w:val="0"/>
          <w:numId w:val="1"/>
        </w:numPr>
        <w:spacing w:after="60" w:before="60"/>
      </w:pPr>
      <w:r>
        <w:rPr>
          <w:rFonts w:ascii="Arial" w:cs="Arial" w:eastAsia="Arial" w:hAnsi="Arial"/>
          <w:color w:val="2C2C2C"/>
          <w:sz w:val="20"/>
          <w:szCs w:val="20"/>
        </w:rPr>
        <w:t xml:space="preserve">Robust technology infrastructure supporting real-time data analytics and reporting capabilities</w:t>
      </w:r>
    </w:p>
    <w:p>
      <w:pPr>
        <w:pStyle w:val="ListParagraph"/>
        <w:numPr>
          <w:ilvl w:val="0"/>
          <w:numId w:val="1"/>
        </w:numPr>
        <w:spacing w:after="60" w:before="60"/>
      </w:pPr>
      <w:r>
        <w:rPr>
          <w:rFonts w:ascii="Arial" w:cs="Arial" w:eastAsia="Arial" w:hAnsi="Arial"/>
          <w:color w:val="2C2C2C"/>
          <w:sz w:val="20"/>
          <w:szCs w:val="20"/>
        </w:rPr>
        <w:t xml:space="preserve">Clear communication channels and feedback mechanisms between all stakeholders</w:t>
      </w:r>
    </w:p>
    <w:p>
      <w:pPr>
        <w:pStyle w:val="ListParagraph"/>
        <w:numPr>
          <w:ilvl w:val="0"/>
          <w:numId w:val="1"/>
        </w:numPr>
        <w:spacing w:after="60" w:before="60"/>
      </w:pPr>
      <w:r>
        <w:rPr>
          <w:rFonts w:ascii="Arial" w:cs="Arial" w:eastAsia="Arial" w:hAnsi="Arial"/>
          <w:color w:val="2C2C2C"/>
          <w:sz w:val="20"/>
          <w:szCs w:val="20"/>
        </w:rPr>
        <w:t xml:space="preserve">Continuous monitoring and measurement of key performance indicators with regular review cycles</w:t>
      </w:r>
    </w:p>
    <w:p>
      <w:pPr>
        <w:pStyle w:val="ListParagraph"/>
        <w:numPr>
          <w:ilvl w:val="0"/>
          <w:numId w:val="1"/>
        </w:numPr>
        <w:spacing w:after="60" w:before="60"/>
      </w:pPr>
      <w:r>
        <w:rPr>
          <w:rFonts w:ascii="Arial" w:cs="Arial" w:eastAsia="Arial" w:hAnsi="Arial"/>
          <w:color w:val="2C2C2C"/>
          <w:sz w:val="20"/>
          <w:szCs w:val="20"/>
        </w:rPr>
        <w:t xml:space="preserve">Agile response mechanisms to adapt to market changes and emerging business requirements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13. Operations Overview</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14. Mission Statement</w:t>
      </w:r>
    </w:p>
    <w:p>
      <w:pPr>
        <w:spacing w:after="120" w:before="80"/>
      </w:pPr>
      <w:r>
        <w:rPr>
          <w:rFonts w:ascii="Arial" w:cs="Arial" w:eastAsia="Arial" w:hAnsi="Arial"/>
          <w:b w:val="false"/>
          <w:bCs w:val="false"/>
          <w:color w:val="2C2C2C"/>
          <w:sz w:val="20"/>
          <w:szCs w:val="20"/>
        </w:rPr>
        <w:t xml:space="preserve">&lt;p&gt;Our Merchandise Operations mission is to deliver exceptional value through strategic merchandise management, optimized inventory processes, and data-driven decision making. We are committed to creating seamless experiences for our customers while maximizing operational efficiency and profitability. Every team member contributes to our success by maintaining the highest standards of quality, accuracy, and collaboration in all merchandise operations activities.&lt;/p&gt;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15. Scope Of Operations</w:t>
      </w:r>
    </w:p>
    <w:p>
      <w:pPr>
        <w:spacing w:after="120" w:before="80"/>
      </w:pPr>
      <w:r>
        <w:rPr>
          <w:rFonts w:ascii="Arial" w:cs="Arial" w:eastAsia="Arial" w:hAnsi="Arial"/>
          <w:b w:val="false"/>
          <w:bCs w:val="false"/>
          <w:color w:val="2C2C2C"/>
          <w:sz w:val="20"/>
          <w:szCs w:val="20"/>
        </w:rPr>
        <w:t xml:space="preserve">&lt;p&gt;Merchandise Operations encompasses the complete lifecycle of product management, from initial market research and trend analysis through final customer delivery and post-sale support. Our scope includes strategic merchandise planning, vendor relationship management, inventory optimization, distribution coordination, quality assurance, and performance analytics. We operate across multiple channels including retail stores, e-commerce platforms, wholesale partnerships, and direct-to-consumer initiatives, ensuring consistent brand experience and operational excellence across all touchpoints.&lt;/p&gt;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16.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Role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Department</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Responsibilities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17. Operational Principles</w:t>
      </w:r>
    </w:p>
    <w:p>
      <w:pPr>
        <w:pStyle w:val="ListParagraph"/>
        <w:numPr>
          <w:ilvl w:val="0"/>
          <w:numId w:val="1"/>
        </w:numPr>
        <w:spacing w:after="60" w:before="60"/>
      </w:pPr>
      <w:r>
        <w:rPr>
          <w:rFonts w:ascii="Arial" w:cs="Arial" w:eastAsia="Arial" w:hAnsi="Arial"/>
          <w:color w:val="2C2C2C"/>
          <w:sz w:val="20"/>
          <w:szCs w:val="20"/>
        </w:rPr>
        <w:t xml:space="preserve">Customer-centric approach: All merchandise decisions prioritize customer needs, preferences, and satisfaction while maintaining operational efficiency</w:t>
      </w:r>
    </w:p>
    <w:p>
      <w:pPr>
        <w:pStyle w:val="ListParagraph"/>
        <w:numPr>
          <w:ilvl w:val="0"/>
          <w:numId w:val="1"/>
        </w:numPr>
        <w:spacing w:after="60" w:before="60"/>
      </w:pPr>
      <w:r>
        <w:rPr>
          <w:rFonts w:ascii="Arial" w:cs="Arial" w:eastAsia="Arial" w:hAnsi="Arial"/>
          <w:color w:val="2C2C2C"/>
          <w:sz w:val="20"/>
          <w:szCs w:val="20"/>
        </w:rPr>
        <w:t xml:space="preserve">Data-driven decision making: Leverage comprehensive analytics and market intelligence to guide strategic and tactical merchandise operations decisions</w:t>
      </w:r>
    </w:p>
    <w:p>
      <w:pPr>
        <w:pStyle w:val="ListParagraph"/>
        <w:numPr>
          <w:ilvl w:val="0"/>
          <w:numId w:val="1"/>
        </w:numPr>
        <w:spacing w:after="60" w:before="60"/>
      </w:pPr>
      <w:r>
        <w:rPr>
          <w:rFonts w:ascii="Arial" w:cs="Arial" w:eastAsia="Arial" w:hAnsi="Arial"/>
          <w:color w:val="2C2C2C"/>
          <w:sz w:val="20"/>
          <w:szCs w:val="20"/>
        </w:rPr>
        <w:t xml:space="preserve">Collaborative excellence: Foster seamless integration between merchandise operations, supply chain, marketing, and retail teams for optimal business outcomes</w:t>
      </w:r>
    </w:p>
    <w:p>
      <w:pPr>
        <w:pStyle w:val="ListParagraph"/>
        <w:numPr>
          <w:ilvl w:val="0"/>
          <w:numId w:val="1"/>
        </w:numPr>
        <w:spacing w:after="60" w:before="60"/>
      </w:pPr>
      <w:r>
        <w:rPr>
          <w:rFonts w:ascii="Arial" w:cs="Arial" w:eastAsia="Arial" w:hAnsi="Arial"/>
          <w:color w:val="2C2C2C"/>
          <w:sz w:val="20"/>
          <w:szCs w:val="20"/>
        </w:rPr>
        <w:t xml:space="preserve">Continuous improvement mindset: Regularly evaluate and enhance processes, systems, and capabilities to maintain competitive advantage</w:t>
      </w:r>
    </w:p>
    <w:p>
      <w:pPr>
        <w:pStyle w:val="ListParagraph"/>
        <w:numPr>
          <w:ilvl w:val="0"/>
          <w:numId w:val="1"/>
        </w:numPr>
        <w:spacing w:after="60" w:before="60"/>
      </w:pPr>
      <w:r>
        <w:rPr>
          <w:rFonts w:ascii="Arial" w:cs="Arial" w:eastAsia="Arial" w:hAnsi="Arial"/>
          <w:color w:val="2C2C2C"/>
          <w:sz w:val="20"/>
          <w:szCs w:val="20"/>
        </w:rPr>
        <w:t xml:space="preserve">Quality without compromise: Maintain highest standards for product quality, operational accuracy, and customer service delivery</w:t>
      </w:r>
    </w:p>
    <w:p>
      <w:pPr>
        <w:pStyle w:val="ListParagraph"/>
        <w:numPr>
          <w:ilvl w:val="0"/>
          <w:numId w:val="1"/>
        </w:numPr>
        <w:spacing w:after="60" w:before="60"/>
      </w:pPr>
      <w:r>
        <w:rPr>
          <w:rFonts w:ascii="Arial" w:cs="Arial" w:eastAsia="Arial" w:hAnsi="Arial"/>
          <w:color w:val="2C2C2C"/>
          <w:sz w:val="20"/>
          <w:szCs w:val="20"/>
        </w:rPr>
        <w:t xml:space="preserve">Agile responsiveness: Adapt quickly to market changes, customer demands, and business requirements while maintaining operational stability</w:t>
      </w:r>
    </w:p>
    <w:p>
      <w:pPr>
        <w:pStyle w:val="ListParagraph"/>
        <w:numPr>
          <w:ilvl w:val="0"/>
          <w:numId w:val="1"/>
        </w:numPr>
        <w:spacing w:after="60" w:before="60"/>
      </w:pPr>
      <w:r>
        <w:rPr>
          <w:rFonts w:ascii="Arial" w:cs="Arial" w:eastAsia="Arial" w:hAnsi="Arial"/>
          <w:color w:val="2C2C2C"/>
          <w:sz w:val="20"/>
          <w:szCs w:val="20"/>
        </w:rPr>
        <w:t xml:space="preserve">Sustainable practices: Integrate environmentally responsible and socially conscious approaches throughout merchandise operations</w:t>
      </w:r>
    </w:p>
    <w:p>
      <w:pPr>
        <w:pStyle w:val="ListParagraph"/>
        <w:numPr>
          <w:ilvl w:val="0"/>
          <w:numId w:val="1"/>
        </w:numPr>
        <w:spacing w:after="60" w:before="60"/>
      </w:pPr>
      <w:r>
        <w:rPr>
          <w:rFonts w:ascii="Arial" w:cs="Arial" w:eastAsia="Arial" w:hAnsi="Arial"/>
          <w:color w:val="2C2C2C"/>
          <w:sz w:val="20"/>
          <w:szCs w:val="20"/>
        </w:rPr>
        <w:t xml:space="preserve">Innovation leadership: Embrace emerging technologies and methodologies to drive operational excellence and competitive differentiation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18. Core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Process Name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Process Id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Workflow</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Key Metrics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Risk Factors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19. Performance Framework</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20.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Name</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Definition</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Target</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Frequency</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Owner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21. Reporting Structure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22. Daily Metrics</w:t>
      </w:r>
    </w:p>
    <w:p>
      <w:pPr>
        <w:pStyle w:val="ListParagraph"/>
        <w:numPr>
          <w:ilvl w:val="0"/>
          <w:numId w:val="1"/>
        </w:numPr>
        <w:spacing w:after="60" w:before="60"/>
      </w:pPr>
      <w:r>
        <w:rPr>
          <w:rFonts w:ascii="Arial" w:cs="Arial" w:eastAsia="Arial" w:hAnsi="Arial"/>
          <w:color w:val="2C2C2C"/>
          <w:sz w:val="20"/>
          <w:szCs w:val="20"/>
        </w:rPr>
        <w:t xml:space="preserve">Inventory levels by location and category with variance analysis</w:t>
      </w:r>
    </w:p>
    <w:p>
      <w:pPr>
        <w:pStyle w:val="ListParagraph"/>
        <w:numPr>
          <w:ilvl w:val="0"/>
          <w:numId w:val="1"/>
        </w:numPr>
        <w:spacing w:after="60" w:before="60"/>
      </w:pPr>
      <w:r>
        <w:rPr>
          <w:rFonts w:ascii="Arial" w:cs="Arial" w:eastAsia="Arial" w:hAnsi="Arial"/>
          <w:color w:val="2C2C2C"/>
          <w:sz w:val="20"/>
          <w:szCs w:val="20"/>
        </w:rPr>
        <w:t xml:space="preserve">Order processing status and fulfillment rates across all channels</w:t>
      </w:r>
    </w:p>
    <w:p>
      <w:pPr>
        <w:pStyle w:val="ListParagraph"/>
        <w:numPr>
          <w:ilvl w:val="0"/>
          <w:numId w:val="1"/>
        </w:numPr>
        <w:spacing w:after="60" w:before="60"/>
      </w:pPr>
      <w:r>
        <w:rPr>
          <w:rFonts w:ascii="Arial" w:cs="Arial" w:eastAsia="Arial" w:hAnsi="Arial"/>
          <w:color w:val="2C2C2C"/>
          <w:sz w:val="20"/>
          <w:szCs w:val="20"/>
        </w:rPr>
        <w:t xml:space="preserve">Quality control results and exception reporting</w:t>
      </w:r>
    </w:p>
    <w:p>
      <w:pPr>
        <w:pStyle w:val="ListParagraph"/>
        <w:numPr>
          <w:ilvl w:val="0"/>
          <w:numId w:val="1"/>
        </w:numPr>
        <w:spacing w:after="60" w:before="60"/>
      </w:pPr>
      <w:r>
        <w:rPr>
          <w:rFonts w:ascii="Arial" w:cs="Arial" w:eastAsia="Arial" w:hAnsi="Arial"/>
          <w:color w:val="2C2C2C"/>
          <w:sz w:val="20"/>
          <w:szCs w:val="20"/>
        </w:rPr>
        <w:t xml:space="preserve">Vendor delivery performance and compliance status</w:t>
      </w:r>
    </w:p>
    <w:p>
      <w:pPr>
        <w:pStyle w:val="ListParagraph"/>
        <w:numPr>
          <w:ilvl w:val="0"/>
          <w:numId w:val="1"/>
        </w:numPr>
        <w:spacing w:after="60" w:before="60"/>
      </w:pPr>
      <w:r>
        <w:rPr>
          <w:rFonts w:ascii="Arial" w:cs="Arial" w:eastAsia="Arial" w:hAnsi="Arial"/>
          <w:color w:val="2C2C2C"/>
          <w:sz w:val="20"/>
          <w:szCs w:val="20"/>
        </w:rPr>
        <w:t xml:space="preserve">Customer service metrics and escalation tracking</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23. Weekly Reports</w:t>
      </w:r>
    </w:p>
    <w:p>
      <w:pPr>
        <w:pStyle w:val="ListParagraph"/>
        <w:numPr>
          <w:ilvl w:val="0"/>
          <w:numId w:val="1"/>
        </w:numPr>
        <w:spacing w:after="60" w:before="60"/>
      </w:pPr>
      <w:r>
        <w:rPr>
          <w:rFonts w:ascii="Arial" w:cs="Arial" w:eastAsia="Arial" w:hAnsi="Arial"/>
          <w:color w:val="2C2C2C"/>
          <w:sz w:val="20"/>
          <w:szCs w:val="20"/>
        </w:rPr>
        <w:t xml:space="preserve">Sales performance analysis by category and channel with variance explanations</w:t>
      </w:r>
    </w:p>
    <w:p>
      <w:pPr>
        <w:pStyle w:val="ListParagraph"/>
        <w:numPr>
          <w:ilvl w:val="0"/>
          <w:numId w:val="1"/>
        </w:numPr>
        <w:spacing w:after="60" w:before="60"/>
      </w:pPr>
      <w:r>
        <w:rPr>
          <w:rFonts w:ascii="Arial" w:cs="Arial" w:eastAsia="Arial" w:hAnsi="Arial"/>
          <w:color w:val="2C2C2C"/>
          <w:sz w:val="20"/>
          <w:szCs w:val="20"/>
        </w:rPr>
        <w:t xml:space="preserve">Inventory turnover trends and optimization recommendations</w:t>
      </w:r>
    </w:p>
    <w:p>
      <w:pPr>
        <w:pStyle w:val="ListParagraph"/>
        <w:numPr>
          <w:ilvl w:val="0"/>
          <w:numId w:val="1"/>
        </w:numPr>
        <w:spacing w:after="60" w:before="60"/>
      </w:pPr>
      <w:r>
        <w:rPr>
          <w:rFonts w:ascii="Arial" w:cs="Arial" w:eastAsia="Arial" w:hAnsi="Arial"/>
          <w:color w:val="2C2C2C"/>
          <w:sz w:val="20"/>
          <w:szCs w:val="20"/>
        </w:rPr>
        <w:t xml:space="preserve">Operational cost analysis and budget variance reporting</w:t>
      </w:r>
    </w:p>
    <w:p>
      <w:pPr>
        <w:pStyle w:val="ListParagraph"/>
        <w:numPr>
          <w:ilvl w:val="0"/>
          <w:numId w:val="1"/>
        </w:numPr>
        <w:spacing w:after="60" w:before="60"/>
      </w:pPr>
      <w:r>
        <w:rPr>
          <w:rFonts w:ascii="Arial" w:cs="Arial" w:eastAsia="Arial" w:hAnsi="Arial"/>
          <w:color w:val="2C2C2C"/>
          <w:sz w:val="20"/>
          <w:szCs w:val="20"/>
        </w:rPr>
        <w:t xml:space="preserve">Vendor performance scorecards and relationship status updates</w:t>
      </w:r>
    </w:p>
    <w:p>
      <w:pPr>
        <w:pStyle w:val="ListParagraph"/>
        <w:numPr>
          <w:ilvl w:val="0"/>
          <w:numId w:val="1"/>
        </w:numPr>
        <w:spacing w:after="60" w:before="60"/>
      </w:pPr>
      <w:r>
        <w:rPr>
          <w:rFonts w:ascii="Arial" w:cs="Arial" w:eastAsia="Arial" w:hAnsi="Arial"/>
          <w:color w:val="2C2C2C"/>
          <w:sz w:val="20"/>
          <w:szCs w:val="20"/>
        </w:rPr>
        <w:t xml:space="preserve">Process efficiency metrics and improvement opportunity identification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24. Monthly Analysis</w:t>
      </w:r>
    </w:p>
    <w:p>
      <w:pPr>
        <w:pStyle w:val="ListParagraph"/>
        <w:numPr>
          <w:ilvl w:val="0"/>
          <w:numId w:val="1"/>
        </w:numPr>
        <w:spacing w:after="60" w:before="60"/>
      </w:pPr>
      <w:r>
        <w:rPr>
          <w:rFonts w:ascii="Arial" w:cs="Arial" w:eastAsia="Arial" w:hAnsi="Arial"/>
          <w:color w:val="2C2C2C"/>
          <w:sz w:val="20"/>
          <w:szCs w:val="20"/>
        </w:rPr>
        <w:t xml:space="preserve">Comprehensive business performance review with strategic insights and recommendations</w:t>
      </w:r>
    </w:p>
    <w:p>
      <w:pPr>
        <w:pStyle w:val="ListParagraph"/>
        <w:numPr>
          <w:ilvl w:val="0"/>
          <w:numId w:val="1"/>
        </w:numPr>
        <w:spacing w:after="60" w:before="60"/>
      </w:pPr>
      <w:r>
        <w:rPr>
          <w:rFonts w:ascii="Arial" w:cs="Arial" w:eastAsia="Arial" w:hAnsi="Arial"/>
          <w:color w:val="2C2C2C"/>
          <w:sz w:val="20"/>
          <w:szCs w:val="20"/>
        </w:rPr>
        <w:t xml:space="preserve">Market trend analysis and competitive positioning assessment</w:t>
      </w:r>
    </w:p>
    <w:p>
      <w:pPr>
        <w:pStyle w:val="ListParagraph"/>
        <w:numPr>
          <w:ilvl w:val="0"/>
          <w:numId w:val="1"/>
        </w:numPr>
        <w:spacing w:after="60" w:before="60"/>
      </w:pPr>
      <w:r>
        <w:rPr>
          <w:rFonts w:ascii="Arial" w:cs="Arial" w:eastAsia="Arial" w:hAnsi="Arial"/>
          <w:color w:val="2C2C2C"/>
          <w:sz w:val="20"/>
          <w:szCs w:val="20"/>
        </w:rPr>
        <w:t xml:space="preserve">Financial performance evaluation including profitability analysis by category and channel</w:t>
      </w:r>
    </w:p>
    <w:p>
      <w:pPr>
        <w:pStyle w:val="ListParagraph"/>
        <w:numPr>
          <w:ilvl w:val="0"/>
          <w:numId w:val="1"/>
        </w:numPr>
        <w:spacing w:after="60" w:before="60"/>
      </w:pPr>
      <w:r>
        <w:rPr>
          <w:rFonts w:ascii="Arial" w:cs="Arial" w:eastAsia="Arial" w:hAnsi="Arial"/>
          <w:color w:val="2C2C2C"/>
          <w:sz w:val="20"/>
          <w:szCs w:val="20"/>
        </w:rPr>
        <w:t xml:space="preserve">Operational excellence scorecard with improvement initiatives progress tracking</w:t>
      </w:r>
    </w:p>
    <w:p>
      <w:pPr>
        <w:pStyle w:val="ListParagraph"/>
        <w:numPr>
          <w:ilvl w:val="0"/>
          <w:numId w:val="1"/>
        </w:numPr>
        <w:spacing w:after="60" w:before="60"/>
      </w:pPr>
      <w:r>
        <w:rPr>
          <w:rFonts w:ascii="Arial" w:cs="Arial" w:eastAsia="Arial" w:hAnsi="Arial"/>
          <w:color w:val="2C2C2C"/>
          <w:sz w:val="20"/>
          <w:szCs w:val="20"/>
        </w:rPr>
        <w:t xml:space="preserve">Customer satisfaction analysis and experience enhancement opportunities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25. Benchmarks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26. Internal</w:t>
      </w:r>
    </w:p>
    <w:p>
      <w:pPr>
        <w:spacing w:after="120" w:before="80"/>
      </w:pPr>
      <w:r>
        <w:rPr>
          <w:rFonts w:ascii="Arial" w:cs="Arial" w:eastAsia="Arial" w:hAnsi="Arial"/>
          <w:b w:val="false"/>
          <w:bCs w:val="false"/>
          <w:color w:val="2C2C2C"/>
          <w:sz w:val="20"/>
          <w:szCs w:val="20"/>
        </w:rPr>
        <w:t xml:space="preserve">&lt;p&gt;Internal benchmarks are established through historical performance analysis across all business units, identifying best practices and setting progressive improvement targets. Performance baselines are updated quarterly to reflect business evolution and market dynamics. Cross-functional comparison enables identification of high-performing processes for replication across the organization.&lt;/p&gt;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27. Industry</w:t>
      </w:r>
    </w:p>
    <w:p>
      <w:pPr>
        <w:spacing w:after="120" w:before="80"/>
      </w:pPr>
      <w:r>
        <w:rPr>
          <w:rFonts w:ascii="Arial" w:cs="Arial" w:eastAsia="Arial" w:hAnsi="Arial"/>
          <w:b w:val="false"/>
          <w:bCs w:val="false"/>
          <w:color w:val="2C2C2C"/>
          <w:sz w:val="20"/>
          <w:szCs w:val="20"/>
        </w:rPr>
        <w:t xml:space="preserve">&lt;p&gt;Industry benchmarks are derived from comprehensive market research, trade association data, and competitive intelligence gathering. We maintain active participation in industry forums and leverage third-party benchmarking services to ensure our performance standards align with or exceed industry leaders. Regular competitive analysis ensures our operational metrics remain competitive and market-relevant.&lt;/p&gt;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28. Best Practice</w:t>
      </w:r>
    </w:p>
    <w:p>
      <w:pPr>
        <w:spacing w:after="120" w:before="80"/>
      </w:pPr>
      <w:r>
        <w:rPr>
          <w:rFonts w:ascii="Arial" w:cs="Arial" w:eastAsia="Arial" w:hAnsi="Arial"/>
          <w:b w:val="false"/>
          <w:bCs w:val="false"/>
          <w:color w:val="2C2C2C"/>
          <w:sz w:val="20"/>
          <w:szCs w:val="20"/>
        </w:rPr>
        <w:t xml:space="preserve">&lt;p&gt;Best practice benchmarks incorporate insights from leading organizations across multiple industries, academic research, and consulting expertise. We actively pursue benchmarking relationships with non-competitive industry leaders to identify innovative approaches and emerging methodologies. Continuous learning and adaptation ensure our operations evolve with changing business environments and customer expectations.&lt;/p&gt;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29. Resource Allocation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30.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Position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Headcount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Responsibilities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Reporting To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31. Budget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Category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Allocation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Justification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32. Systems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System</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Purpose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Users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Integration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33. Operational Policies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34. Quality Standards</w:t>
      </w:r>
    </w:p>
    <w:p>
      <w:pPr>
        <w:spacing w:after="120" w:before="80"/>
      </w:pPr>
      <w:r>
        <w:rPr>
          <w:rFonts w:ascii="Arial" w:cs="Arial" w:eastAsia="Arial" w:hAnsi="Arial"/>
          <w:b w:val="false"/>
          <w:bCs w:val="false"/>
          <w:color w:val="2C2C2C"/>
          <w:sz w:val="20"/>
          <w:szCs w:val="20"/>
        </w:rPr>
        <w:t xml:space="preserve">&lt;p&gt;Our merchandise operations maintain the highest quality standards through comprehensive quality assurance programs, rigorous vendor evaluation processes, and continuous monitoring of product performance. All merchandise must meet or exceed industry safety regulations, performance specifications, and customer expectation standards. Quality control checkpoints are integrated throughout the entire merchandise lifecycle, from initial vendor selection through final customer delivery. Regular quality audits ensure consistent adherence to established standards, with immediate corrective action protocols for any quality deviations.&lt;/p&gt;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35. Compliance Requirements</w:t>
      </w:r>
    </w:p>
    <w:p>
      <w:pPr>
        <w:pStyle w:val="ListParagraph"/>
        <w:numPr>
          <w:ilvl w:val="0"/>
          <w:numId w:val="1"/>
        </w:numPr>
        <w:spacing w:after="60" w:before="60"/>
      </w:pPr>
      <w:r>
        <w:rPr>
          <w:rFonts w:ascii="Arial" w:cs="Arial" w:eastAsia="Arial" w:hAnsi="Arial"/>
          <w:color w:val="2C2C2C"/>
          <w:sz w:val="20"/>
          <w:szCs w:val="20"/>
        </w:rPr>
        <w:t xml:space="preserve">Federal Trade Commission regulations for advertising and labeling accuracy</w:t>
      </w:r>
    </w:p>
    <w:p>
      <w:pPr>
        <w:pStyle w:val="ListParagraph"/>
        <w:numPr>
          <w:ilvl w:val="0"/>
          <w:numId w:val="1"/>
        </w:numPr>
        <w:spacing w:after="60" w:before="60"/>
      </w:pPr>
      <w:r>
        <w:rPr>
          <w:rFonts w:ascii="Arial" w:cs="Arial" w:eastAsia="Arial" w:hAnsi="Arial"/>
          <w:color w:val="2C2C2C"/>
          <w:sz w:val="20"/>
          <w:szCs w:val="20"/>
        </w:rPr>
        <w:t xml:space="preserve">Consumer Product Safety Commission standards for product safety and testing requirements</w:t>
      </w:r>
    </w:p>
    <w:p>
      <w:pPr>
        <w:pStyle w:val="ListParagraph"/>
        <w:numPr>
          <w:ilvl w:val="0"/>
          <w:numId w:val="1"/>
        </w:numPr>
        <w:spacing w:after="60" w:before="60"/>
      </w:pPr>
      <w:r>
        <w:rPr>
          <w:rFonts w:ascii="Arial" w:cs="Arial" w:eastAsia="Arial" w:hAnsi="Arial"/>
          <w:color w:val="2C2C2C"/>
          <w:sz w:val="20"/>
          <w:szCs w:val="20"/>
        </w:rPr>
        <w:t xml:space="preserve">International Organization for Standardization (ISO) quality management system compliance</w:t>
      </w:r>
    </w:p>
    <w:p>
      <w:pPr>
        <w:pStyle w:val="ListParagraph"/>
        <w:numPr>
          <w:ilvl w:val="0"/>
          <w:numId w:val="1"/>
        </w:numPr>
        <w:spacing w:after="60" w:before="60"/>
      </w:pPr>
      <w:r>
        <w:rPr>
          <w:rFonts w:ascii="Arial" w:cs="Arial" w:eastAsia="Arial" w:hAnsi="Arial"/>
          <w:color w:val="2C2C2C"/>
          <w:sz w:val="20"/>
          <w:szCs w:val="20"/>
        </w:rPr>
        <w:t xml:space="preserve">Environmental protection regulations for packaging and disposal requirements</w:t>
      </w:r>
    </w:p>
    <w:p>
      <w:pPr>
        <w:pStyle w:val="ListParagraph"/>
        <w:numPr>
          <w:ilvl w:val="0"/>
          <w:numId w:val="1"/>
        </w:numPr>
        <w:spacing w:after="60" w:before="60"/>
      </w:pPr>
      <w:r>
        <w:rPr>
          <w:rFonts w:ascii="Arial" w:cs="Arial" w:eastAsia="Arial" w:hAnsi="Arial"/>
          <w:color w:val="2C2C2C"/>
          <w:sz w:val="20"/>
          <w:szCs w:val="20"/>
        </w:rPr>
        <w:t xml:space="preserve">Occupational Safety and Health Administration workplace safety standards</w:t>
      </w:r>
    </w:p>
    <w:p>
      <w:pPr>
        <w:pStyle w:val="ListParagraph"/>
        <w:numPr>
          <w:ilvl w:val="0"/>
          <w:numId w:val="1"/>
        </w:numPr>
        <w:spacing w:after="60" w:before="60"/>
      </w:pPr>
      <w:r>
        <w:rPr>
          <w:rFonts w:ascii="Arial" w:cs="Arial" w:eastAsia="Arial" w:hAnsi="Arial"/>
          <w:color w:val="2C2C2C"/>
          <w:sz w:val="20"/>
          <w:szCs w:val="20"/>
        </w:rPr>
        <w:t xml:space="preserve">Americans with Disabilities Act accessibility requirements for merchandise and facilities</w:t>
      </w:r>
    </w:p>
    <w:p>
      <w:pPr>
        <w:pStyle w:val="ListParagraph"/>
        <w:numPr>
          <w:ilvl w:val="0"/>
          <w:numId w:val="1"/>
        </w:numPr>
        <w:spacing w:after="60" w:before="60"/>
      </w:pPr>
      <w:r>
        <w:rPr>
          <w:rFonts w:ascii="Arial" w:cs="Arial" w:eastAsia="Arial" w:hAnsi="Arial"/>
          <w:color w:val="2C2C2C"/>
          <w:sz w:val="20"/>
          <w:szCs w:val="20"/>
        </w:rPr>
        <w:t xml:space="preserve">Fair Labor Standards Act compliance for all vendor relationships and operational practices</w:t>
      </w:r>
    </w:p>
    <w:p>
      <w:pPr>
        <w:pStyle w:val="ListParagraph"/>
        <w:numPr>
          <w:ilvl w:val="0"/>
          <w:numId w:val="1"/>
        </w:numPr>
        <w:spacing w:after="60" w:before="60"/>
      </w:pPr>
      <w:r>
        <w:rPr>
          <w:rFonts w:ascii="Arial" w:cs="Arial" w:eastAsia="Arial" w:hAnsi="Arial"/>
          <w:color w:val="2C2C2C"/>
          <w:sz w:val="20"/>
          <w:szCs w:val="20"/>
        </w:rPr>
        <w:t xml:space="preserve">Import/export regulations and customs requirements for international merchandise sourcing</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36. Escalation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Issue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Level1</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Level2</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Level3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37. Documentation Requirements</w:t>
      </w:r>
    </w:p>
    <w:p>
      <w:pPr>
        <w:spacing w:after="120" w:before="80"/>
      </w:pPr>
      <w:r>
        <w:rPr>
          <w:rFonts w:ascii="Arial" w:cs="Arial" w:eastAsia="Arial" w:hAnsi="Arial"/>
          <w:b w:val="false"/>
          <w:bCs w:val="false"/>
          <w:color w:val="2C2C2C"/>
          <w:sz w:val="20"/>
          <w:szCs w:val="20"/>
        </w:rPr>
        <w:t xml:space="preserve">&lt;p&gt;Comprehensive documentation standards ensure process consistency, regulatory compliance, and knowledge preservation across all merchandise operations activities. All operational procedures, decision criteria, and performance metrics must be documented in standardized formats with regular review and update cycles. Documentation includes process workflows, decision trees, performance standards, vendor agreements, quality specifications, and training materials. Version control systems maintain historical records and enable traceability of all operational changes. Regular documentation audits ensure accuracy, completeness, and accessibility for all team members.&lt;/p&gt;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38. Continuous Improvement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39. Review Cycle</w:t>
      </w:r>
    </w:p>
    <w:p>
      <w:pPr>
        <w:spacing w:after="120" w:before="80"/>
      </w:pPr>
      <w:r>
        <w:rPr>
          <w:rFonts w:ascii="Arial" w:cs="Arial" w:eastAsia="Arial" w:hAnsi="Arial"/>
          <w:b w:val="false"/>
          <w:bCs w:val="false"/>
          <w:color w:val="2C2C2C"/>
          <w:sz w:val="20"/>
          <w:szCs w:val="20"/>
        </w:rPr>
        <w:t xml:space="preserve">&lt;p&gt;Our continuous improvement framework operates on multiple review cycles to ensure responsive adaptation and strategic alignment. Weekly operational reviews focus on immediate performance issues and tactical adjustments. Monthly comprehensive assessments evaluate process effectiveness, resource utilization, and performance trend analysis. Quarterly strategic reviews examine market alignment, competitive positioning, and long-term operational strategy. Annual comprehensive evaluations assess overall operational effectiveness, resource allocation optimization, and strategic goal achievement. Each review cycle incorporates stakeholder feedback, performance data analysis, and best practice research to identify improvement opportunities.&lt;/p&gt;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40. Improvement Process</w:t>
      </w:r>
    </w:p>
    <w:p>
      <w:pPr>
        <w:spacing w:after="120" w:before="80"/>
      </w:pPr>
      <w:r>
        <w:rPr>
          <w:rFonts w:ascii="Arial" w:cs="Arial" w:eastAsia="Arial" w:hAnsi="Arial"/>
          <w:b w:val="false"/>
          <w:bCs w:val="false"/>
          <w:color w:val="2C2C2C"/>
          <w:sz w:val="20"/>
          <w:szCs w:val="20"/>
        </w:rPr>
        <w:t xml:space="preserve">&lt;p&gt;The structured improvement process begins with opportunity identification through performance monitoring, stakeholder feedback, and market analysis. Ideas undergo feasibility assessment, including cost-benefit analysis, resource requirements, and risk evaluation. Approved improvements follow project management methodology with clear objectives, timelines, and success criteria. Implementation includes pilot testing, training development, and change management support. Post-implementation monitoring measures effectiveness and identifies additional optimization opportunities. Successful improvements are documented and shared across the organization to maximize learning and replication benefits.&lt;/p&gt;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41. Feedback Mechanisms</w:t>
      </w:r>
    </w:p>
    <w:p>
      <w:pPr>
        <w:pStyle w:val="ListParagraph"/>
        <w:numPr>
          <w:ilvl w:val="0"/>
          <w:numId w:val="1"/>
        </w:numPr>
        <w:spacing w:after="60" w:before="60"/>
      </w:pPr>
      <w:r>
        <w:rPr>
          <w:rFonts w:ascii="Arial" w:cs="Arial" w:eastAsia="Arial" w:hAnsi="Arial"/>
          <w:color w:val="2C2C2C"/>
          <w:sz w:val="20"/>
          <w:szCs w:val="20"/>
        </w:rPr>
        <w:t xml:space="preserve">Monthly team feedback sessions with structured discussion topics and action item tracking</w:t>
      </w:r>
    </w:p>
    <w:p>
      <w:pPr>
        <w:pStyle w:val="ListParagraph"/>
        <w:numPr>
          <w:ilvl w:val="0"/>
          <w:numId w:val="1"/>
        </w:numPr>
        <w:spacing w:after="60" w:before="60"/>
      </w:pPr>
      <w:r>
        <w:rPr>
          <w:rFonts w:ascii="Arial" w:cs="Arial" w:eastAsia="Arial" w:hAnsi="Arial"/>
          <w:color w:val="2C2C2C"/>
          <w:sz w:val="20"/>
          <w:szCs w:val="20"/>
        </w:rPr>
        <w:t xml:space="preserve">Quarterly customer satisfaction surveys with detailed analysis and response protocols</w:t>
      </w:r>
    </w:p>
    <w:p>
      <w:pPr>
        <w:pStyle w:val="ListParagraph"/>
        <w:numPr>
          <w:ilvl w:val="0"/>
          <w:numId w:val="1"/>
        </w:numPr>
        <w:spacing w:after="60" w:before="60"/>
      </w:pPr>
      <w:r>
        <w:rPr>
          <w:rFonts w:ascii="Arial" w:cs="Arial" w:eastAsia="Arial" w:hAnsi="Arial"/>
          <w:color w:val="2C2C2C"/>
          <w:sz w:val="20"/>
          <w:szCs w:val="20"/>
        </w:rPr>
        <w:t xml:space="preserve">Annual 360-degree performance reviews for all team members with development planning</w:t>
      </w:r>
    </w:p>
    <w:p>
      <w:pPr>
        <w:pStyle w:val="ListParagraph"/>
        <w:numPr>
          <w:ilvl w:val="0"/>
          <w:numId w:val="1"/>
        </w:numPr>
        <w:spacing w:after="60" w:before="60"/>
      </w:pPr>
      <w:r>
        <w:rPr>
          <w:rFonts w:ascii="Arial" w:cs="Arial" w:eastAsia="Arial" w:hAnsi="Arial"/>
          <w:color w:val="2C2C2C"/>
          <w:sz w:val="20"/>
          <w:szCs w:val="20"/>
        </w:rPr>
        <w:t xml:space="preserve">Continuous suggestion box system with formal evaluation and response processes</w:t>
      </w:r>
    </w:p>
    <w:p>
      <w:pPr>
        <w:pStyle w:val="ListParagraph"/>
        <w:numPr>
          <w:ilvl w:val="0"/>
          <w:numId w:val="1"/>
        </w:numPr>
        <w:spacing w:after="60" w:before="60"/>
      </w:pPr>
      <w:r>
        <w:rPr>
          <w:rFonts w:ascii="Arial" w:cs="Arial" w:eastAsia="Arial" w:hAnsi="Arial"/>
          <w:color w:val="2C2C2C"/>
          <w:sz w:val="20"/>
          <w:szCs w:val="20"/>
        </w:rPr>
        <w:t xml:space="preserve">Cross-functional collaboration workshops to identify integration opportunities</w:t>
      </w:r>
    </w:p>
    <w:p>
      <w:pPr>
        <w:pStyle w:val="ListParagraph"/>
        <w:numPr>
          <w:ilvl w:val="0"/>
          <w:numId w:val="1"/>
        </w:numPr>
        <w:spacing w:after="60" w:before="60"/>
      </w:pPr>
      <w:r>
        <w:rPr>
          <w:rFonts w:ascii="Arial" w:cs="Arial" w:eastAsia="Arial" w:hAnsi="Arial"/>
          <w:color w:val="2C2C2C"/>
          <w:sz w:val="20"/>
          <w:szCs w:val="20"/>
        </w:rPr>
        <w:t xml:space="preserve">External benchmarking studies and industry best practice research</w:t>
      </w:r>
    </w:p>
    <w:p>
      <w:pPr>
        <w:pStyle w:val="ListParagraph"/>
        <w:numPr>
          <w:ilvl w:val="0"/>
          <w:numId w:val="1"/>
        </w:numPr>
        <w:spacing w:after="60" w:before="60"/>
      </w:pPr>
      <w:r>
        <w:rPr>
          <w:rFonts w:ascii="Arial" w:cs="Arial" w:eastAsia="Arial" w:hAnsi="Arial"/>
          <w:color w:val="2C2C2C"/>
          <w:sz w:val="20"/>
          <w:szCs w:val="20"/>
        </w:rPr>
        <w:t xml:space="preserve">Vendor feedback collection and analysis for relationship optimization</w:t>
      </w:r>
    </w:p>
    <w:p>
      <w:pPr>
        <w:pStyle w:val="ListParagraph"/>
        <w:numPr>
          <w:ilvl w:val="0"/>
          <w:numId w:val="1"/>
        </w:numPr>
        <w:spacing w:after="60" w:before="60"/>
      </w:pPr>
      <w:r>
        <w:rPr>
          <w:rFonts w:ascii="Arial" w:cs="Arial" w:eastAsia="Arial" w:hAnsi="Arial"/>
          <w:color w:val="2C2C2C"/>
          <w:sz w:val="20"/>
          <w:szCs w:val="20"/>
        </w:rPr>
        <w:t xml:space="preserve">Executive leadership reviews with strategic guidance and resource support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42. Change Management</w:t>
      </w:r>
    </w:p>
    <w:p>
      <w:pPr>
        <w:spacing w:after="120" w:before="80"/>
      </w:pPr>
      <w:r>
        <w:rPr>
          <w:rFonts w:ascii="Arial" w:cs="Arial" w:eastAsia="Arial" w:hAnsi="Arial"/>
          <w:b w:val="false"/>
          <w:bCs w:val="false"/>
          <w:color w:val="2C2C2C"/>
          <w:sz w:val="20"/>
          <w:szCs w:val="20"/>
        </w:rPr>
        <w:t xml:space="preserve">&lt;p&gt;Our change management approach ensures smooth transition and adoption of operational improvements through comprehensive communication, training, and support programs. Change initiatives begin with stakeholder analysis and communication planning to address concerns and build support. Training programs provide necessary skills and knowledge for successful implementation. Pilot programs test changes in controlled environments before full deployment. Change champions within each team provide peer support and feedback collection. Regular progress monitoring identifies implementation challenges and enables rapid adjustments. Success celebration and recognition reinforce positive change behaviors and encourage continued improvement participation.&lt;/p&gt;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43. Implementation Roadmap</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44.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Phase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Duration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Objectives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Deliverables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Milestones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Resources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45.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Risk</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Probability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46. Appendices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Term</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Definition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48. Templates</w:t>
      </w:r>
    </w:p>
    <w:p>
      <w:pPr>
        <w:pStyle w:val="ListParagraph"/>
        <w:numPr>
          <w:ilvl w:val="0"/>
          <w:numId w:val="1"/>
        </w:numPr>
        <w:spacing w:after="60" w:before="60"/>
      </w:pPr>
      <w:r>
        <w:rPr>
          <w:rFonts w:ascii="Arial" w:cs="Arial" w:eastAsia="Arial" w:hAnsi="Arial"/>
          <w:color w:val="2C2C2C"/>
          <w:sz w:val="20"/>
          <w:szCs w:val="20"/>
        </w:rPr>
        <w:t xml:space="preserve">Category Performance Review Template with standardized metrics and analysis framework</w:t>
      </w:r>
    </w:p>
    <w:p>
      <w:pPr>
        <w:pStyle w:val="ListParagraph"/>
        <w:numPr>
          <w:ilvl w:val="0"/>
          <w:numId w:val="1"/>
        </w:numPr>
        <w:spacing w:after="60" w:before="60"/>
      </w:pPr>
      <w:r>
        <w:rPr>
          <w:rFonts w:ascii="Arial" w:cs="Arial" w:eastAsia="Arial" w:hAnsi="Arial"/>
          <w:color w:val="2C2C2C"/>
          <w:sz w:val="20"/>
          <w:szCs w:val="20"/>
        </w:rPr>
        <w:t xml:space="preserve">Vendor Evaluation Scorecard including quality, delivery, service, and compliance criteria</w:t>
      </w:r>
    </w:p>
    <w:p>
      <w:pPr>
        <w:pStyle w:val="ListParagraph"/>
        <w:numPr>
          <w:ilvl w:val="0"/>
          <w:numId w:val="1"/>
        </w:numPr>
        <w:spacing w:after="60" w:before="60"/>
      </w:pPr>
      <w:r>
        <w:rPr>
          <w:rFonts w:ascii="Arial" w:cs="Arial" w:eastAsia="Arial" w:hAnsi="Arial"/>
          <w:color w:val="2C2C2C"/>
          <w:sz w:val="20"/>
          <w:szCs w:val="20"/>
        </w:rPr>
        <w:t xml:space="preserve">Inventory Analysis Worksheet with turnover calculations and optimization recommendations</w:t>
      </w:r>
    </w:p>
    <w:p>
      <w:pPr>
        <w:pStyle w:val="ListParagraph"/>
        <w:numPr>
          <w:ilvl w:val="0"/>
          <w:numId w:val="1"/>
        </w:numPr>
        <w:spacing w:after="60" w:before="60"/>
      </w:pPr>
      <w:r>
        <w:rPr>
          <w:rFonts w:ascii="Arial" w:cs="Arial" w:eastAsia="Arial" w:hAnsi="Arial"/>
          <w:color w:val="2C2C2C"/>
          <w:sz w:val="20"/>
          <w:szCs w:val="20"/>
        </w:rPr>
        <w:t xml:space="preserve">Process Improvement Proposal Format including business case and implementation planning</w:t>
      </w:r>
    </w:p>
    <w:p>
      <w:pPr>
        <w:pStyle w:val="ListParagraph"/>
        <w:numPr>
          <w:ilvl w:val="0"/>
          <w:numId w:val="1"/>
        </w:numPr>
        <w:spacing w:after="60" w:before="60"/>
      </w:pPr>
      <w:r>
        <w:rPr>
          <w:rFonts w:ascii="Arial" w:cs="Arial" w:eastAsia="Arial" w:hAnsi="Arial"/>
          <w:color w:val="2C2C2C"/>
          <w:sz w:val="20"/>
          <w:szCs w:val="20"/>
        </w:rPr>
        <w:t xml:space="preserve">Monthly Operations Report Template with executive summary and detailed performance metrics</w:t>
      </w:r>
    </w:p>
    <w:p>
      <w:pPr>
        <w:pStyle w:val="ListParagraph"/>
        <w:numPr>
          <w:ilvl w:val="0"/>
          <w:numId w:val="1"/>
        </w:numPr>
        <w:spacing w:after="60" w:before="60"/>
      </w:pPr>
      <w:r>
        <w:rPr>
          <w:rFonts w:ascii="Arial" w:cs="Arial" w:eastAsia="Arial" w:hAnsi="Arial"/>
          <w:color w:val="2C2C2C"/>
          <w:sz w:val="20"/>
          <w:szCs w:val="20"/>
        </w:rPr>
        <w:t xml:space="preserve">Training Module Template for consistent skill development and knowledge transfer</w:t>
      </w:r>
    </w:p>
    <w:p>
      <w:pPr>
        <w:pStyle w:val="ListParagraph"/>
        <w:numPr>
          <w:ilvl w:val="0"/>
          <w:numId w:val="1"/>
        </w:numPr>
        <w:spacing w:after="60" w:before="60"/>
      </w:pPr>
      <w:r>
        <w:rPr>
          <w:rFonts w:ascii="Arial" w:cs="Arial" w:eastAsia="Arial" w:hAnsi="Arial"/>
          <w:color w:val="2C2C2C"/>
          <w:sz w:val="20"/>
          <w:szCs w:val="20"/>
        </w:rPr>
        <w:t xml:space="preserve">Risk Assessment Matrix for systematic evaluation of operational risks and mitigation strategies</w:t>
      </w:r>
    </w:p>
    <w:p>
      <w:pPr>
        <w:pStyle w:val="ListParagraph"/>
        <w:numPr>
          <w:ilvl w:val="0"/>
          <w:numId w:val="1"/>
        </w:numPr>
        <w:spacing w:after="60" w:before="60"/>
      </w:pPr>
      <w:r>
        <w:rPr>
          <w:rFonts w:ascii="Arial" w:cs="Arial" w:eastAsia="Arial" w:hAnsi="Arial"/>
          <w:color w:val="2C2C2C"/>
          <w:sz w:val="20"/>
          <w:szCs w:val="20"/>
        </w:rPr>
        <w:t xml:space="preserve">Budget Planning Worksheet with category allocation and variance tracking capabilities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49.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Role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Name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Email</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Phone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50. References</w:t>
      </w:r>
    </w:p>
    <w:p>
      <w:pPr>
        <w:pStyle w:val="ListParagraph"/>
        <w:numPr>
          <w:ilvl w:val="0"/>
          <w:numId w:val="1"/>
        </w:numPr>
        <w:spacing w:after="60" w:before="60"/>
      </w:pPr>
      <w:r>
        <w:rPr>
          <w:rFonts w:ascii="Arial" w:cs="Arial" w:eastAsia="Arial" w:hAnsi="Arial"/>
          <w:color w:val="2C2C2C"/>
          <w:sz w:val="20"/>
          <w:szCs w:val="20"/>
        </w:rPr>
        <w:t xml:space="preserve">National Retail Federation Best Practices Guide for Merchandise Operations Management</w:t>
      </w:r>
    </w:p>
    <w:p>
      <w:pPr>
        <w:pStyle w:val="ListParagraph"/>
        <w:numPr>
          <w:ilvl w:val="0"/>
          <w:numId w:val="1"/>
        </w:numPr>
        <w:spacing w:after="60" w:before="60"/>
      </w:pPr>
      <w:r>
        <w:rPr>
          <w:rFonts w:ascii="Arial" w:cs="Arial" w:eastAsia="Arial" w:hAnsi="Arial"/>
          <w:color w:val="2C2C2C"/>
          <w:sz w:val="20"/>
          <w:szCs w:val="20"/>
        </w:rPr>
        <w:t xml:space="preserve">Supply Chain Management Review - Inventory Optimization Strategies for Retail Excellence</w:t>
      </w:r>
    </w:p>
    <w:p>
      <w:pPr>
        <w:pStyle w:val="ListParagraph"/>
        <w:numPr>
          <w:ilvl w:val="0"/>
          <w:numId w:val="1"/>
        </w:numPr>
        <w:spacing w:after="60" w:before="60"/>
      </w:pPr>
      <w:r>
        <w:rPr>
          <w:rFonts w:ascii="Arial" w:cs="Arial" w:eastAsia="Arial" w:hAnsi="Arial"/>
          <w:color w:val="2C2C2C"/>
          <w:sz w:val="20"/>
          <w:szCs w:val="20"/>
        </w:rPr>
        <w:t xml:space="preserve">Harvard Business Review - Data-Driven Decision Making in Merchandise Planning</w:t>
      </w:r>
    </w:p>
    <w:p>
      <w:pPr>
        <w:pStyle w:val="ListParagraph"/>
        <w:numPr>
          <w:ilvl w:val="0"/>
          <w:numId w:val="1"/>
        </w:numPr>
        <w:spacing w:after="60" w:before="60"/>
      </w:pPr>
      <w:r>
        <w:rPr>
          <w:rFonts w:ascii="Arial" w:cs="Arial" w:eastAsia="Arial" w:hAnsi="Arial"/>
          <w:color w:val="2C2C2C"/>
          <w:sz w:val="20"/>
          <w:szCs w:val="20"/>
        </w:rPr>
        <w:t xml:space="preserve">Council of Supply Chain Management Professionals - Performance Metrics and Benchmarking Standards</w:t>
      </w:r>
    </w:p>
    <w:p>
      <w:pPr>
        <w:pStyle w:val="ListParagraph"/>
        <w:numPr>
          <w:ilvl w:val="0"/>
          <w:numId w:val="1"/>
        </w:numPr>
        <w:spacing w:after="60" w:before="60"/>
      </w:pPr>
      <w:r>
        <w:rPr>
          <w:rFonts w:ascii="Arial" w:cs="Arial" w:eastAsia="Arial" w:hAnsi="Arial"/>
          <w:color w:val="2C2C2C"/>
          <w:sz w:val="20"/>
          <w:szCs w:val="20"/>
        </w:rPr>
        <w:t xml:space="preserve">International Association of Department Stores - Global Retail Operations Excellence Framework</w:t>
      </w:r>
    </w:p>
    <w:p>
      <w:pPr>
        <w:pStyle w:val="ListParagraph"/>
        <w:numPr>
          <w:ilvl w:val="0"/>
          <w:numId w:val="1"/>
        </w:numPr>
        <w:spacing w:after="60" w:before="60"/>
      </w:pPr>
      <w:r>
        <w:rPr>
          <w:rFonts w:ascii="Arial" w:cs="Arial" w:eastAsia="Arial" w:hAnsi="Arial"/>
          <w:color w:val="2C2C2C"/>
          <w:sz w:val="20"/>
          <w:szCs w:val="20"/>
        </w:rPr>
        <w:t xml:space="preserve">McKinsey &amp; Company - Advanced Analytics in Retail Merchandise Management</w:t>
      </w:r>
    </w:p>
    <w:p>
      <w:pPr>
        <w:pStyle w:val="ListParagraph"/>
        <w:numPr>
          <w:ilvl w:val="0"/>
          <w:numId w:val="1"/>
        </w:numPr>
        <w:spacing w:after="60" w:before="60"/>
      </w:pPr>
      <w:r>
        <w:rPr>
          <w:rFonts w:ascii="Arial" w:cs="Arial" w:eastAsia="Arial" w:hAnsi="Arial"/>
          <w:color w:val="2C2C2C"/>
          <w:sz w:val="20"/>
          <w:szCs w:val="20"/>
        </w:rPr>
        <w:t xml:space="preserve">Deloitte Retail Operations Survey - Industry Performance Benchmarks and Trends Analysis</w:t>
      </w:r>
    </w:p>
    <w:p>
      <w:pPr>
        <w:pStyle w:val="ListParagraph"/>
        <w:numPr>
          <w:ilvl w:val="0"/>
          <w:numId w:val="1"/>
        </w:numPr>
        <w:spacing w:after="60" w:before="60"/>
      </w:pPr>
      <w:r>
        <w:rPr>
          <w:rFonts w:ascii="Arial" w:cs="Arial" w:eastAsia="Arial" w:hAnsi="Arial"/>
          <w:color w:val="2C2C2C"/>
          <w:sz w:val="20"/>
          <w:szCs w:val="20"/>
        </w:rPr>
        <w:t xml:space="preserve">PwC Total Retail Survey - Customer Experience and Operational Efficiency Integration Strategies</w:t>
      </w:r>
    </w:p>
    <w:p>
      <w:pPr>
        <w:spacing w:after="80"/>
      </w:pPr>
      <w:r>
        <w:t xml:space="preserve"/>
      </w:r>
    </w:p>
    <w:p>
      <w:pPr>
        <w:spacing w:after="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99999"/>
        <w:sz w:val="16"/>
        <w:szCs w:val="16"/>
      </w:rPr>
      <w:t xml:space="preserve">Document Document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8"/>
            <w:right w:val="none" w:color="FFFFFF" w:sz="0"/>
          </w:tcBorders>
          <w:tcMar>
            <w:top w:type="dxa" w:w="60"/>
            <w:left w:type="dxa" w:w="0"/>
            <w:bottom w:type="dxa" w:w="60"/>
            <w:right w:type="dxa" w:w="120"/>
          </w:tcMar>
        </w:tcPr>
        <w:p>
          <w:r>
            <w:rPr>
              <w:rFonts w:ascii="Arial" w:cs="Arial" w:eastAsia="Arial" w:hAnsi="Arial"/>
              <w:b/>
              <w:bCs/>
              <w:color w:val="1F4E79"/>
              <w:sz w:val="24"/>
              <w:szCs w:val="24"/>
            </w:rPr>
            <w:t xml:space="preserve">DOCUMENT DOCUMENT</w:t>
          </w:r>
        </w:p>
        <w:p>
          <w:r>
            <w:rPr>
              <w:rFonts w:ascii="Arial" w:cs="Arial" w:eastAsia="Arial" w:hAnsi="Arial"/>
              <w:color w:val="666666"/>
              <w:sz w:val="18"/>
              <w:szCs w:val="18"/>
            </w:rPr>
            <w:t xml:space="preserve">Professional Document</w:t>
          </w:r>
        </w:p>
      </w:tc>
      <w:tc>
        <w:tcPr>
          <w:tcW w:type="dxa" w:w="3000"/>
          <w:tcBorders>
            <w:top w:val="none" w:color="FFFFFF" w:sz="0"/>
            <w:left w:val="none" w:color="FFFFFF" w:sz="0"/>
            <w:bottom w:val="single" w:color="2E75B6" w:sz="8"/>
            <w:right w:val="none" w:color="FFFFFF" w:sz="0"/>
          </w:tcBorders>
          <w:tcMar>
            <w:top w:type="dxa" w:w="60"/>
            <w:left w:type="dxa" w:w="120"/>
            <w:bottom w:type="dxa" w:w="60"/>
            <w:right w:type="dxa" w:w="0"/>
          </w:tcMar>
          <w:vAlign w:val="bottom"/>
        </w:tcPr>
        <w:p>
          <w:pPr>
            <w:jc w:val="right"/>
          </w:pPr>
          <w:r>
            <w:rPr>
              <w:rFonts w:ascii="Arial" w:cs="Arial" w:eastAsia="Arial" w:hAnsi="Arial"/>
              <w:i/>
              <w:iCs/>
              <w:color w:val="999999"/>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2026-04-29T22:48:24.336Z</dcterms:created>
  <dcterms:modified xsi:type="dcterms:W3CDTF">2026-04-29T22:48:24.336Z</dcterms:modified>
</cp:coreProperties>
</file>

<file path=docProps/custom.xml><?xml version="1.0" encoding="utf-8"?>
<Properties xmlns="http://schemas.openxmlformats.org/officeDocument/2006/custom-properties" xmlns:vt="http://schemas.openxmlformats.org/officeDocument/2006/docPropsVTypes"/>
</file>