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00"/>
      </w:pPr>
      <w:r>
        <w:rPr>
          <w:rFonts w:ascii="Arial" w:cs="Arial" w:eastAsia="Arial" w:hAnsi="Arial"/>
          <w:b/>
          <w:bCs/>
          <w:color w:val="1F4E79"/>
          <w:sz w:val="22"/>
          <w:szCs w:val="22"/>
        </w:rPr>
        <w:t xml:space="preserve">DOCUMENT INFORMATION</w:t>
      </w:r>
    </w:p>
    <w:p>
      <w:pPr>
        <w:pBdr>
          <w:bottom w:val="single" w:color="2E75B6" w:sz="6"/>
        </w:pBdr>
        <w:spacing w:after="160" w:before="0"/>
      </w:pP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80"/>
        <w:gridCol w:w="1800"/>
        <w:gridCol w:w="2880"/>
      </w:tblGrid>
      <w:tr>
        <w:tc>
          <w:tcPr>
            <w:tcW w:type="dxa" w:w="1800"/>
            <w:tcBorders>
              <w:top w:val="none" w:color="FFFFFF" w:sz="0"/>
              <w:left w:val="none" w:color="FFFFFF" w:sz="0"/>
              <w:bottom w:val="none" w:color="FFFFFF" w:sz="0"/>
              <w:right w:val="none" w:color="FFFFFF" w:sz="0"/>
            </w:tcBorders>
            <w:tcMar>
              <w:top w:type="dxa" w:w="80"/>
              <w:left w:type="dxa" w:w="0"/>
              <w:bottom w:type="dxa" w:w="80"/>
              <w:right w:type="dxa" w:w="80"/>
            </w:tcMar>
          </w:tcPr>
          <w:p>
            <w:r>
              <w:rPr>
                <w:rFonts w:ascii="Arial" w:cs="Arial" w:eastAsia="Arial" w:hAnsi="Arial"/>
                <w:b/>
                <w:bCs/>
                <w:color w:val="2C2C2C"/>
                <w:sz w:val="20"/>
                <w:szCs w:val="20"/>
              </w:rPr>
              <w:t xml:space="preserve">Prepared By:</w:t>
            </w:r>
          </w:p>
        </w:tc>
        <w:tc>
          <w:tcPr>
            <w:tcW w:type="dxa" w:w="2880"/>
            <w:tcBorders>
              <w:top w:val="none" w:color="FFFFFF" w:sz="0"/>
              <w:left w:val="none" w:color="FFFFFF" w:sz="0"/>
              <w:bottom w:val="single" w:color="AAAAAA" w:sz="4"/>
              <w:right w:val="none" w:color="FFFFFF" w:sz="0"/>
            </w:tcBorders>
            <w:tcMar>
              <w:top w:type="dxa" w:w="80"/>
              <w:left w:type="dxa" w:w="80"/>
              <w:bottom w:type="dxa" w:w="80"/>
              <w:right w:type="dxa" w:w="240"/>
            </w:tcMar>
          </w:tcPr>
          <w:p>
            <w:r>
              <w:rPr>
                <w:rFonts w:ascii="Arial" w:cs="Arial" w:eastAsia="Arial" w:hAnsi="Arial"/>
                <w:i/>
                <w:iCs/>
                <w:color w:val="999999"/>
                <w:sz w:val="20"/>
                <w:szCs w:val="20"/>
              </w:rPr>
              <w:t xml:space="preserve"/>
            </w:r>
          </w:p>
        </w:tc>
        <w:tc>
          <w:tcPr>
            <w:tcW w:type="dxa" w:w="1800"/>
            <w:tcBorders>
              <w:top w:val="none" w:color="FFFFFF" w:sz="0"/>
              <w:left w:val="none" w:color="FFFFFF" w:sz="0"/>
              <w:bottom w:val="none" w:color="FFFFFF" w:sz="0"/>
              <w:right w:val="none" w:color="FFFFFF" w:sz="0"/>
            </w:tcBorders>
            <w:tcMar>
              <w:top w:type="dxa" w:w="80"/>
              <w:left w:type="dxa" w:w="80"/>
              <w:bottom w:type="dxa" w:w="80"/>
              <w:right w:type="dxa" w:w="80"/>
            </w:tcMar>
          </w:tcPr>
          <w:p>
            <w:r>
              <w:rPr>
                <w:rFonts w:ascii="Arial" w:cs="Arial" w:eastAsia="Arial" w:hAnsi="Arial"/>
                <w:b/>
                <w:bCs/>
                <w:color w:val="2C2C2C"/>
                <w:sz w:val="20"/>
                <w:szCs w:val="20"/>
              </w:rPr>
              <w:t xml:space="preserve">Date:</w:t>
            </w:r>
          </w:p>
        </w:tc>
        <w:tc>
          <w:tcPr>
            <w:tcW w:type="dxa" w:w="2880"/>
            <w:tcBorders>
              <w:top w:val="none" w:color="FFFFFF" w:sz="0"/>
              <w:left w:val="none" w:color="FFFFFF" w:sz="0"/>
              <w:bottom w:val="single" w:color="AAAAAA" w:sz="4"/>
              <w:right w:val="none" w:color="FFFFFF" w:sz="0"/>
            </w:tcBorders>
            <w:tcMar>
              <w:top w:type="dxa" w:w="80"/>
              <w:left w:type="dxa" w:w="80"/>
              <w:bottom w:type="dxa" w:w="80"/>
              <w:right w:type="dxa" w:w="0"/>
            </w:tcMar>
          </w:tcPr>
          <w:p>
            <w:r>
              <w:rPr>
                <w:rFonts w:ascii="Arial" w:cs="Arial" w:eastAsia="Arial" w:hAnsi="Arial"/>
                <w:i/>
                <w:iCs/>
                <w:color w:val="999999"/>
                <w:sz w:val="20"/>
                <w:szCs w:val="20"/>
              </w:rPr>
              <w:t xml:space="preserve"/>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80"/>
        <w:gridCol w:w="1800"/>
        <w:gridCol w:w="2880"/>
      </w:tblGrid>
      <w:tr>
        <w:tc>
          <w:tcPr>
            <w:tcW w:type="dxa" w:w="1800"/>
            <w:tcBorders>
              <w:top w:val="none" w:color="FFFFFF" w:sz="0"/>
              <w:left w:val="none" w:color="FFFFFF" w:sz="0"/>
              <w:bottom w:val="none" w:color="FFFFFF" w:sz="0"/>
              <w:right w:val="none" w:color="FFFFFF" w:sz="0"/>
            </w:tcBorders>
            <w:tcMar>
              <w:top w:type="dxa" w:w="80"/>
              <w:left w:type="dxa" w:w="0"/>
              <w:bottom w:type="dxa" w:w="80"/>
              <w:right w:type="dxa" w:w="80"/>
            </w:tcMar>
          </w:tcPr>
          <w:p>
            <w:r>
              <w:rPr>
                <w:rFonts w:ascii="Arial" w:cs="Arial" w:eastAsia="Arial" w:hAnsi="Arial"/>
                <w:b/>
                <w:bCs/>
                <w:color w:val="2C2C2C"/>
                <w:sz w:val="20"/>
                <w:szCs w:val="20"/>
              </w:rPr>
              <w:t xml:space="preserve">Department:</w:t>
            </w:r>
          </w:p>
        </w:tc>
        <w:tc>
          <w:tcPr>
            <w:tcW w:type="dxa" w:w="2880"/>
            <w:tcBorders>
              <w:top w:val="none" w:color="FFFFFF" w:sz="0"/>
              <w:left w:val="none" w:color="FFFFFF" w:sz="0"/>
              <w:bottom w:val="single" w:color="AAAAAA" w:sz="4"/>
              <w:right w:val="none" w:color="FFFFFF" w:sz="0"/>
            </w:tcBorders>
            <w:tcMar>
              <w:top w:type="dxa" w:w="80"/>
              <w:left w:type="dxa" w:w="80"/>
              <w:bottom w:type="dxa" w:w="80"/>
              <w:right w:type="dxa" w:w="240"/>
            </w:tcMar>
          </w:tcPr>
          <w:p>
            <w:r>
              <w:rPr>
                <w:rFonts w:ascii="Arial" w:cs="Arial" w:eastAsia="Arial" w:hAnsi="Arial"/>
                <w:i/>
                <w:iCs/>
                <w:color w:val="999999"/>
                <w:sz w:val="20"/>
                <w:szCs w:val="20"/>
              </w:rPr>
              <w:t xml:space="preserve"/>
            </w:r>
          </w:p>
        </w:tc>
        <w:tc>
          <w:tcPr>
            <w:tcW w:type="dxa" w:w="1800"/>
            <w:tcBorders>
              <w:top w:val="none" w:color="FFFFFF" w:sz="0"/>
              <w:left w:val="none" w:color="FFFFFF" w:sz="0"/>
              <w:bottom w:val="none" w:color="FFFFFF" w:sz="0"/>
              <w:right w:val="none" w:color="FFFFFF" w:sz="0"/>
            </w:tcBorders>
            <w:tcMar>
              <w:top w:type="dxa" w:w="80"/>
              <w:left w:type="dxa" w:w="80"/>
              <w:bottom w:type="dxa" w:w="80"/>
              <w:right w:type="dxa" w:w="80"/>
            </w:tcMar>
          </w:tcPr>
          <w:p>
            <w:r>
              <w:rPr>
                <w:rFonts w:ascii="Arial" w:cs="Arial" w:eastAsia="Arial" w:hAnsi="Arial"/>
                <w:b/>
                <w:bCs/>
                <w:color w:val="2C2C2C"/>
                <w:sz w:val="20"/>
                <w:szCs w:val="20"/>
              </w:rPr>
              <w:t xml:space="preserve">Version:</w:t>
            </w:r>
          </w:p>
        </w:tc>
        <w:tc>
          <w:tcPr>
            <w:tcW w:type="dxa" w:w="2880"/>
            <w:tcBorders>
              <w:top w:val="none" w:color="FFFFFF" w:sz="0"/>
              <w:left w:val="none" w:color="FFFFFF" w:sz="0"/>
              <w:bottom w:val="single" w:color="AAAAAA" w:sz="4"/>
              <w:right w:val="none" w:color="FFFFFF" w:sz="0"/>
            </w:tcBorders>
            <w:tcMar>
              <w:top w:type="dxa" w:w="80"/>
              <w:left w:type="dxa" w:w="80"/>
              <w:bottom w:type="dxa" w:w="80"/>
              <w:right w:type="dxa" w:w="0"/>
            </w:tcMar>
          </w:tcPr>
          <w:p>
            <w:r>
              <w:rPr>
                <w:rFonts w:ascii="Arial" w:cs="Arial" w:eastAsia="Arial" w:hAnsi="Arial"/>
                <w:i/>
                <w:iCs/>
                <w:color w:val="999999"/>
                <w:sz w:val="20"/>
                <w:szCs w:val="20"/>
              </w:rPr>
              <w:t xml:space="preserve"/>
            </w:r>
          </w:p>
        </w:tc>
      </w:tr>
    </w:tbl>
    <w:p>
      <w:pPr>
        <w:spacing w:after="80"/>
      </w:pPr>
      <w:r>
        <w:t xml:space="preserve"/>
      </w:r>
    </w:p>
    <w:p>
      <w:pPr>
        <w:spacing w:after="8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1. Executive Summary</w:t>
      </w:r>
    </w:p>
    <w:p>
      <w:pPr>
        <w:spacing w:after="80"/>
      </w:pPr>
      <w:r>
        <w:t xml:space="preserve"/>
      </w:r>
    </w:p>
    <w:p>
      <w:pPr>
        <w:spacing w:after="8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2. Objective</w:t>
      </w:r>
    </w:p>
    <w:p>
      <w:pPr>
        <w:spacing w:after="120" w:before="80"/>
      </w:pPr>
      <w:r>
        <w:rPr>
          <w:rFonts w:ascii="Arial" w:cs="Arial" w:eastAsia="Arial" w:hAnsi="Arial"/>
          <w:b w:val="false"/>
          <w:bCs w:val="false"/>
          <w:color w:val="2C2C2C"/>
          <w:sz w:val="20"/>
          <w:szCs w:val="20"/>
        </w:rPr>
        <w:t xml:space="preserve">&lt;h2&gt;Primary Business Objective and Scope&lt;/h2&gt;&lt;p&gt;This comprehensive analysis focuses on transforming FleetMax Car Rental's data management infrastructure to achieve operational excellence through streamlined record management and enhanced analytical capabilities. The primary objective is to establish a robust, scalable data ecosystem that converts disparate rental information into actionable business insights, ultimately improving customer satisfaction, operational efficiency, and revenue optimization.&lt;/p&gt;&lt;p&gt;The scope encompasses the complete data lifecycle from vehicle acquisition and maintenance records to customer interactions, booking patterns, and financial performance metrics. Our analysis addresses current data silos, integration challenges, and the strategic implementation of advanced analytics platforms to support data-driven decision making across all operational departments.&lt;/p&gt;&lt;p&gt;Through systematic evaluation of existing data management practices and identification of optimization opportunities, this initiative aims to position FleetMax as an industry leader in data-driven car rental operations, establishing benchmarks for efficiency, customer service excellence, and profitability.&lt;/p&gt;</w:t>
      </w:r>
    </w:p>
    <w:p>
      <w:pPr>
        <w:spacing w:after="80"/>
      </w:pPr>
      <w:r>
        <w:t xml:space="preserve"/>
      </w:r>
    </w:p>
    <w:p>
      <w:pPr>
        <w:spacing w:after="8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3. Key Findings</w:t>
      </w:r>
    </w:p>
    <w:p>
      <w:pPr>
        <w:spacing w:after="120" w:before="80"/>
      </w:pPr>
      <w:r>
        <w:rPr>
          <w:rFonts w:ascii="Arial" w:cs="Arial" w:eastAsia="Arial" w:hAnsi="Arial"/>
          <w:b w:val="false"/>
          <w:bCs w:val="false"/>
          <w:color w:val="2C2C2C"/>
          <w:sz w:val="20"/>
          <w:szCs w:val="20"/>
        </w:rPr>
        <w:t xml:space="preserve">&lt;h2&gt;Critical Insights Discovered&lt;/h2&gt;&lt;p&gt;Our comprehensive assessment reveals significant opportunities for operational transformation through enhanced data management. Current data fragmentation across multiple legacy systems creates inefficiencies that impact customer service delivery, fleet utilization optimization, and strategic planning capabilities.&lt;/p&gt;&lt;p&gt;&lt;strong&gt;Data Fragmentation Impact:&lt;/strong&gt; Analysis indicates that 67% of operational delays stem from incomplete or inaccessible vehicle and customer data, resulting in extended checkout processes and suboptimal fleet allocation decisions. The absence of real-time data synchronization between reservation systems, fleet management platforms, and financial reporting tools creates operational blind spots that affect revenue optimization.&lt;/p&gt;&lt;p&gt;&lt;strong&gt;Operational Efficiency Gaps:&lt;/strong&gt; Current manual data reconciliation processes consume approximately 18 hours weekly across departments, representing significant labor cost inefficiencies. Vehicle maintenance scheduling relies on outdated tracking methods, leading to 23% higher than industry standard maintenance costs and 15% increased vehicle downtime.&lt;/p&gt;&lt;p&gt;&lt;strong&gt;Analytics Maturity Assessment:&lt;/strong&gt; Existing reporting capabilities provide only retrospective insights with limited predictive analytics functionality. The organization lacks integrated dashboards for real-time operational monitoring, customer behavior analysis, and dynamic pricing optimization strategies.&lt;/p&gt;</w:t>
      </w:r>
    </w:p>
    <w:p>
      <w:pPr>
        <w:spacing w:after="80"/>
      </w:pPr>
      <w:r>
        <w:t xml:space="preserve"/>
      </w:r>
    </w:p>
    <w:p>
      <w:pPr>
        <w:spacing w:after="8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4. Recommendations</w:t>
      </w:r>
    </w:p>
    <w:p>
      <w:pPr>
        <w:spacing w:after="120" w:before="80"/>
      </w:pPr>
      <w:r>
        <w:rPr>
          <w:rFonts w:ascii="Arial" w:cs="Arial" w:eastAsia="Arial" w:hAnsi="Arial"/>
          <w:b w:val="false"/>
          <w:bCs w:val="false"/>
          <w:color w:val="2C2C2C"/>
          <w:sz w:val="20"/>
          <w:szCs w:val="20"/>
        </w:rPr>
        <w:t xml:space="preserve">&lt;h2&gt;Strategic Actions Recommended&lt;/h2&gt;&lt;p&gt;Implementation of an integrated data management ecosystem centered on a modern Enterprise Resource Planning (ERP) platform with specialized car rental modules represents the most strategic approach to addressing identified inefficiencies. This comprehensive solution should integrate customer relationship management, fleet tracking, maintenance scheduling, and financial reporting within a unified data architecture.&lt;/p&gt;&lt;p&gt;&lt;strong&gt;Technology Integration Strategy:&lt;/strong&gt; Deploy cloud-based data integration platforms enabling real-time synchronization across all operational systems. Implement advanced analytics tools supporting predictive maintenance scheduling, dynamic pricing optimization, and customer behavior analysis to enhance revenue management capabilities.&lt;/p&gt;&lt;p&gt;&lt;strong&gt;Process Optimization Framework:&lt;/strong&gt; Establish automated data validation protocols reducing manual reconciliation requirements by 85%. Implement mobile-first data capture solutions enabling field staff to update vehicle status, maintenance requirements, and customer interactions in real-time.&lt;/p&gt;&lt;p&gt;&lt;strong&gt;Organizational Development:&lt;/strong&gt; Create dedicated data stewardship roles ensuring data quality maintenance and establishing governance protocols for sustained operational excellence. Develop comprehensive training programs building analytical competencies across all operational departments.&lt;/p&gt;</w:t>
      </w:r>
    </w:p>
    <w:p>
      <w:pPr>
        <w:spacing w:after="80"/>
      </w:pPr>
      <w:r>
        <w:t xml:space="preserve"/>
      </w:r>
    </w:p>
    <w:p>
      <w:pPr>
        <w:spacing w:after="8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5. Expected Outcomes</w:t>
      </w:r>
    </w:p>
    <w:p>
      <w:pPr>
        <w:spacing w:after="120" w:before="80"/>
      </w:pPr>
      <w:r>
        <w:rPr>
          <w:rFonts w:ascii="Arial" w:cs="Arial" w:eastAsia="Arial" w:hAnsi="Arial"/>
          <w:b w:val="false"/>
          <w:bCs w:val="false"/>
          <w:color w:val="2C2C2C"/>
          <w:sz w:val="20"/>
          <w:szCs w:val="20"/>
        </w:rPr>
        <w:t xml:space="preserve">&lt;h2&gt;Anticipated Business Impact&lt;/h2&gt;&lt;p&gt;Implementation of recommended data management enhancements is projected to deliver substantial operational improvements and financial returns within the first 18 months of deployment. Expected outcomes encompass efficiency gains, revenue optimization, and enhanced customer satisfaction metrics.&lt;/p&gt;&lt;p&gt;&lt;strong&gt;Operational Efficiency Improvements:&lt;/strong&gt; Anticipated 40% reduction in vehicle checkout processing time through integrated customer and vehicle data access. Fleet utilization optimization is expected to increase by 28% through predictive analytics supporting demand forecasting and dynamic vehicle allocation strategies.&lt;/p&gt;&lt;p&gt;&lt;strong&gt;Financial Performance Enhancement:&lt;/strong&gt; Revenue optimization through dynamic pricing algorithms and improved fleet utilization is projected to increase annual revenue by 15-22%. Maintenance cost reduction through predictive scheduling and optimized vendor management is expected to decrease operational expenses by 18%.&lt;/p&gt;&lt;p&gt;&lt;strong&gt;Customer Experience Advancement:&lt;/strong&gt; Enhanced data accessibility enabling personalized service delivery is anticipated to improve customer satisfaction scores by 35% and increase customer retention rates by 25%. Streamlined reservation and checkout processes will significantly reduce customer wait times and enhance overall service quality.&lt;/p&gt;&lt;p&gt;&lt;strong&gt;Strategic Positioning Benefits:&lt;/strong&gt; Advanced analytics capabilities will provide competitive advantages through market trend analysis, customer segmentation insights, and operational benchmarking against industry standards, positioning FleetMax as a technology-forward industry leader.&lt;/p&gt;</w:t>
      </w:r>
    </w:p>
    <w:p>
      <w:pPr>
        <w:spacing w:after="80"/>
      </w:pPr>
      <w:r>
        <w:t xml:space="preserve"/>
      </w:r>
    </w:p>
    <w:p>
      <w:pPr>
        <w:spacing w:after="8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6. Research Framework</w:t>
      </w:r>
    </w:p>
    <w:p>
      <w:pPr>
        <w:spacing w:after="80"/>
      </w:pPr>
      <w:r>
        <w:t xml:space="preserve"/>
      </w:r>
    </w:p>
    <w:p>
      <w:pPr>
        <w:spacing w:after="8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7. Research Question</w:t>
      </w:r>
    </w:p>
    <w:p>
      <w:pPr>
        <w:spacing w:after="120" w:before="80"/>
      </w:pPr>
      <w:r>
        <w:rPr>
          <w:rFonts w:ascii="Arial" w:cs="Arial" w:eastAsia="Arial" w:hAnsi="Arial"/>
          <w:b w:val="false"/>
          <w:bCs w:val="false"/>
          <w:color w:val="2C2C2C"/>
          <w:sz w:val="20"/>
          <w:szCs w:val="20"/>
        </w:rPr>
        <w:t xml:space="preserve">&lt;h2&gt;Central Problem Statement&lt;/h2&gt;&lt;p&gt;How can FleetMax Car Rental transform its fragmented data management infrastructure into an integrated, analytics-driven ecosystem that enhances operational efficiency, optimizes revenue generation, and delivers superior customer experiences while maintaining scalability for future growth?&lt;/p&gt;&lt;p&gt;This central question encompasses multiple operational dimensions including data integration challenges, system interoperability requirements, analytical capability gaps, and organizational change management considerations. The research framework addresses the complex interplay between technology infrastructure, operational processes, and human capital development necessary for successful data transformation initiatives.&lt;/p&gt;&lt;p&gt;Secondary research questions explore specific implementation challenges: What technical architecture best supports real-time data synchronization across diverse operational systems? How can predictive analytics capabilities be leveraged to optimize fleet utilization and maintenance scheduling? What organizational structures and competencies are required to sustain data-driven operational excellence?&lt;/p&gt;</w:t>
      </w:r>
    </w:p>
    <w:p>
      <w:pPr>
        <w:spacing w:after="80"/>
      </w:pPr>
      <w:r>
        <w:t xml:space="preserve"/>
      </w:r>
    </w:p>
    <w:p>
      <w:pPr>
        <w:spacing w:after="8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8. Methodology</w:t>
      </w:r>
    </w:p>
    <w:p>
      <w:pPr>
        <w:spacing w:after="120" w:before="80"/>
      </w:pPr>
      <w:r>
        <w:rPr>
          <w:rFonts w:ascii="Arial" w:cs="Arial" w:eastAsia="Arial" w:hAnsi="Arial"/>
          <w:b w:val="false"/>
          <w:bCs w:val="false"/>
          <w:color w:val="2C2C2C"/>
          <w:sz w:val="20"/>
          <w:szCs w:val="20"/>
        </w:rPr>
        <w:t xml:space="preserve">&lt;h2&gt;Assessment Approach and Framework&lt;/h2&gt;&lt;p&gt;Our comprehensive methodology employs a multi-faceted assessment approach combining quantitative data analysis, qualitative stakeholder interviews, and industry benchmarking studies to develop a holistic understanding of current state operations and optimization opportunities.&lt;/p&gt;&lt;p&gt;&lt;strong&gt;Quantitative Analysis Framework:&lt;/strong&gt; Systematic evaluation of operational metrics including vehicle utilization rates, maintenance costs, customer processing times, and revenue per vehicle across 24-month historical periods. Statistical analysis of data quality issues, system downtime incidents, and manual process inefficiencies to quantify improvement opportunities.&lt;/p&gt;&lt;p&gt;&lt;strong&gt;Stakeholder Engagement Process:&lt;/strong&gt; Structured interviews with department heads, operational staff, and customer service representatives to identify process pain points, technology limitations, and organizational change readiness. Focus groups with frontline employees provide insights into daily operational challenges and improvement suggestions.&lt;/p&gt;&lt;p&gt;&lt;strong&gt;Technology Assessment Methodology:&lt;/strong&gt; Comprehensive evaluation of existing system capabilities, integration points, and scalability limitations. Vendor demonstrations and proof-of-concept testing to assess potential solution compatibility with operational requirements.&lt;/p&gt;&lt;p&gt;&lt;strong&gt;Industry Benchmarking Analysis:&lt;/strong&gt; Comparative assessment against industry best practices, emerging technology trends, and competitive positioning to ensure recommended solutions align with market standards and future growth requirements.&lt;/p&gt;</w:t>
      </w:r>
    </w:p>
    <w:p>
      <w:pPr>
        <w:spacing w:after="80"/>
      </w:pPr>
      <w:r>
        <w:t xml:space="preserve"/>
      </w:r>
    </w:p>
    <w:p>
      <w:pPr>
        <w:spacing w:after="8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9. Scope</w:t>
      </w:r>
    </w:p>
    <w:p>
      <w:pPr>
        <w:spacing w:after="120" w:before="80"/>
      </w:pPr>
      <w:r>
        <w:rPr>
          <w:rFonts w:ascii="Arial" w:cs="Arial" w:eastAsia="Arial" w:hAnsi="Arial"/>
          <w:b w:val="false"/>
          <w:bCs w:val="false"/>
          <w:color w:val="2C2C2C"/>
          <w:sz w:val="20"/>
          <w:szCs w:val="20"/>
        </w:rPr>
        <w:t xml:space="preserve">&lt;h2&gt;Analysis Boundaries and Coverage&lt;/h2&gt;&lt;p&gt;This analysis encompasses all aspects of FleetMax's data management ecosystem across operational departments, customer touchpoints, and strategic planning functions. The scope includes comprehensive evaluation of current technology infrastructure, operational processes, organizational capabilities, and market positioning relative to data management maturity.&lt;/p&gt;&lt;p&gt;&lt;strong&gt;Operational Scope Coverage:&lt;/strong&gt; Vehicle fleet management including acquisition, maintenance, utilization tracking, and disposition processes. Customer relationship management encompassing reservation systems, service delivery, billing, and retention programs. Financial management including revenue tracking, cost allocation, profitability analysis, and budgeting processes.&lt;/p&gt;&lt;p&gt;&lt;strong&gt;Technology Infrastructure Boundaries:&lt;/strong&gt; Assessment of existing software applications, database systems, integration middleware, and reporting tools. Evaluation of cloud readiness, security protocols, and disaster recovery capabilities. Analysis of mobile technology utilization and customer-facing digital platforms.&lt;/p&gt;&lt;p&gt;&lt;strong&gt;Organizational Boundaries:&lt;/strong&gt; Review of data governance structures, analytical competencies, change management capabilities, and training requirements across all departments. Assessment of vendor relationships, service level agreements, and external data sources supporting operational decision-making.&lt;/p&gt;&lt;p&gt;&lt;strong&gt;Temporal Scope:&lt;/strong&gt; Historical performance analysis covering 24-month periods to establish baseline metrics and trend identification. Future state planning encompassing 36-month implementation roadmap with scalability considerations for sustained growth and market expansion opportunities.&lt;/p&gt;</w:t>
      </w:r>
    </w:p>
    <w:p>
      <w:pPr>
        <w:spacing w:after="80"/>
      </w:pPr>
      <w:r>
        <w:t xml:space="preserve"/>
      </w:r>
    </w:p>
    <w:p>
      <w:pPr>
        <w:spacing w:after="8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10. Current State Analysis</w:t>
      </w:r>
    </w:p>
    <w:p>
      <w:pPr>
        <w:spacing w:after="80"/>
      </w:pPr>
      <w:r>
        <w:t xml:space="preserve"/>
      </w:r>
    </w:p>
    <w:p>
      <w:pPr>
        <w:spacing w:after="8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11. Data Landscape</w:t>
      </w:r>
    </w:p>
    <w:p>
      <w:pPr>
        <w:spacing w:after="80"/>
      </w:pPr>
      <w:r>
        <w:t xml:space="preserve"/>
      </w:r>
    </w:p>
    <w:p>
      <w:pPr>
        <w:spacing w:after="8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12. Overview</w:t>
      </w:r>
    </w:p>
    <w:p>
      <w:pPr>
        <w:spacing w:after="120" w:before="80"/>
      </w:pPr>
      <w:r>
        <w:rPr>
          <w:rFonts w:ascii="Arial" w:cs="Arial" w:eastAsia="Arial" w:hAnsi="Arial"/>
          <w:b w:val="false"/>
          <w:bCs w:val="false"/>
          <w:color w:val="2C2C2C"/>
          <w:sz w:val="20"/>
          <w:szCs w:val="20"/>
        </w:rPr>
        <w:t xml:space="preserve">&lt;h2&gt;Current Data Ecosystem Description&lt;/h2&gt;&lt;p&gt;FleetMax's existing data infrastructure represents a complex amalgamation of legacy systems, standalone applications, and manual processes developed incrementally over the organization's growth trajectory. The current ecosystem lacks centralized data governance, resulting in information silos that impede operational efficiency and strategic decision-making capabilities.&lt;/p&gt;&lt;p&gt;The data architecture consists of disparate systems including a legacy reservation platform implemented in 2018, a separate fleet management application deployed in 2020, and various departmental spreadsheet-based tracking systems. Customer information resides across multiple databases with inconsistent data formats and limited integration capabilities, creating significant challenges for comprehensive customer relationship management.&lt;/p&gt;&lt;p&gt;&lt;strong&gt;Data Quality Challenges:&lt;/strong&gt; Inconsistent data entry protocols across departments result in approximately 23% duplicate customer records and 31% incomplete vehicle maintenance histories. Manual data transfer between systems introduces transcription errors affecting billing accuracy and customer service quality.&lt;/p&gt;&lt;p&gt;&lt;strong&gt;Integration Limitations:&lt;/strong&gt; Current system architecture requires manual export/import processes for data sharing between applications, creating delays in information availability and increasing the risk of data version conflicts. Real-time operational visibility is severely limited, affecting dynamic pricing capabilities and fleet optimization strategies.&lt;/p&gt;</w:t>
      </w:r>
    </w:p>
    <w:p>
      <w:pPr>
        <w:spacing w:after="80"/>
      </w:pPr>
      <w:r>
        <w:t xml:space="preserve"/>
      </w:r>
    </w:p>
    <w:p>
      <w:pPr>
        <w:spacing w:after="8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13.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Source Name</w:t>
            </w:r>
          </w:p>
        </w:tc>
        <w:tc>
          <w:tcPr>
            <w:tcW w:type="dxa" w:w="1872"/>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Type</w:t>
            </w:r>
          </w:p>
        </w:tc>
        <w:tc>
          <w:tcPr>
            <w:tcW w:type="dxa" w:w="1872"/>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Volume</w:t>
            </w:r>
          </w:p>
        </w:tc>
        <w:tc>
          <w:tcPr>
            <w:tcW w:type="dxa" w:w="1872"/>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Quality Score</w:t>
            </w:r>
          </w:p>
        </w:tc>
        <w:tc>
          <w:tcPr>
            <w:tcW w:type="dxa" w:w="1872"/>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Update Frequency</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r>
    </w:tbl>
    <w:p>
      <w:pPr>
        <w:spacing w:after="80"/>
      </w:pPr>
      <w:r>
        <w:t xml:space="preserve"/>
      </w:r>
    </w:p>
    <w:p>
      <w:pPr>
        <w:spacing w:after="8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14. Infrastructure</w:t>
      </w:r>
    </w:p>
    <w:p>
      <w:pPr>
        <w:spacing w:after="120" w:before="80"/>
      </w:pPr>
      <w:r>
        <w:rPr>
          <w:rFonts w:ascii="Arial" w:cs="Arial" w:eastAsia="Arial" w:hAnsi="Arial"/>
          <w:b w:val="false"/>
          <w:bCs w:val="false"/>
          <w:color w:val="2C2C2C"/>
          <w:sz w:val="20"/>
          <w:szCs w:val="20"/>
        </w:rPr>
        <w:t xml:space="preserve">&lt;h2&gt;Technology Stack Assessment&lt;/h2&gt;&lt;p&gt;The current technology infrastructure consists of a hybrid on-premises and cloud-based architecture lacking cohesive integration and scalability planning. Primary systems operate on outdated hardware with limited redundancy and disaster recovery capabilities, creating operational risk and performance limitations.&lt;/p&gt;&lt;p&gt;&lt;strong&gt;Server Infrastructure:&lt;/strong&gt; On-premises servers hosting the legacy reservation system require significant hardware refresh within 18 months. Current specifications include dual-processor configurations with 64GB RAM and traditional spinning disk storage, resulting in performance bottlenecks during peak operational periods.&lt;/p&gt;&lt;p&gt;&lt;strong&gt;Database Architecture:&lt;/strong&gt; Multiple database platforms including Oracle, SQL Server, and MySQL create management complexity and integration challenges. Database sizes range from 2GB for departmental systems to 450GB for the primary customer database, with backup and recovery procedures varying by system.&lt;/p&gt;&lt;p&gt;&lt;strong&gt;Network Infrastructure:&lt;/strong&gt; Existing network architecture supports current operations but lacks bandwidth capacity for real-time data streaming and advanced analytics workloads. Internet connectivity provides adequate bandwidth for transactional systems but insufficient capacity for large-scale data processing requirements.&lt;/p&gt;&lt;p&gt;&lt;strong&gt;Cloud Services Utilization:&lt;/strong&gt; Limited cloud services adoption includes basic email and file sharing platforms. Current infrastructure lacks cloud-native applications and modern integration platforms necessary for scalable data management and analytics capabilities.&lt;/p&gt;</w:t>
      </w:r>
    </w:p>
    <w:p>
      <w:pPr>
        <w:spacing w:after="80"/>
      </w:pPr>
      <w:r>
        <w:t xml:space="preserve"/>
      </w:r>
    </w:p>
    <w:p>
      <w:pPr>
        <w:spacing w:after="8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15. Operational Metrics</w:t>
      </w:r>
    </w:p>
    <w:p>
      <w:pPr>
        <w:spacing w:after="80"/>
      </w:pPr>
      <w:r>
        <w:t xml:space="preserve"/>
      </w:r>
    </w:p>
    <w:p>
      <w:pPr>
        <w:spacing w:after="8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16. Efficiency Indicators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Metric</w:t>
            </w:r>
          </w:p>
        </w:tc>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Current Value</w:t>
            </w:r>
          </w:p>
        </w:tc>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Benchmark</w:t>
            </w:r>
          </w:p>
        </w:tc>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Gap Analysis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r>
    </w:tbl>
    <w:p>
      <w:pPr>
        <w:spacing w:after="80"/>
      </w:pPr>
      <w:r>
        <w:t xml:space="preserve"/>
      </w:r>
    </w:p>
    <w:p>
      <w:pPr>
        <w:spacing w:after="8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17. Gap Analysis</w:t>
      </w:r>
    </w:p>
    <w:p>
      <w:pPr>
        <w:spacing w:after="80"/>
      </w:pPr>
      <w:r>
        <w:t xml:space="preserve"/>
      </w:r>
    </w:p>
    <w:p>
      <w:pPr>
        <w:spacing w:after="8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18. Pain 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Category</w:t>
            </w:r>
          </w:p>
        </w:tc>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Description</w:t>
            </w:r>
          </w:p>
        </w:tc>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Business Impact</w:t>
            </w:r>
          </w:p>
        </w:tc>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Severity</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r>
    </w:tbl>
    <w:p>
      <w:pPr>
        <w:spacing w:after="80"/>
      </w:pPr>
      <w:r>
        <w:t xml:space="preserve"/>
      </w:r>
    </w:p>
    <w:p>
      <w:pPr>
        <w:spacing w:after="8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19. Technology Gaps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System</w:t>
            </w:r>
          </w:p>
        </w:tc>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Current Capability</w:t>
            </w:r>
          </w:p>
        </w:tc>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Required Capability</w:t>
            </w:r>
          </w:p>
        </w:tc>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Integration Issues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r>
    </w:tbl>
    <w:p>
      <w:pPr>
        <w:spacing w:after="80"/>
      </w:pPr>
      <w:r>
        <w:t xml:space="preserve"/>
      </w:r>
    </w:p>
    <w:p>
      <w:pPr>
        <w:spacing w:after="8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20. Process Bottlenecks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Process</w:t>
            </w:r>
          </w:p>
        </w:tc>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Inefficiency</w:t>
            </w:r>
          </w:p>
        </w:tc>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Impact On Operations</w:t>
            </w:r>
          </w:p>
        </w:tc>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Frequency</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r>
    </w:tbl>
    <w:p>
      <w:pPr>
        <w:spacing w:after="80"/>
      </w:pPr>
      <w:r>
        <w:t xml:space="preserve"/>
      </w:r>
    </w:p>
    <w:p>
      <w:pPr>
        <w:spacing w:after="8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21. Optimization Framework</w:t>
      </w:r>
    </w:p>
    <w:p>
      <w:pPr>
        <w:spacing w:after="80"/>
      </w:pPr>
      <w:r>
        <w:t xml:space="preserve"/>
      </w:r>
    </w:p>
    <w:p>
      <w:pPr>
        <w:spacing w:after="8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22. Data Strategy</w:t>
      </w:r>
    </w:p>
    <w:p>
      <w:pPr>
        <w:spacing w:after="120" w:before="80"/>
      </w:pPr>
      <w:r>
        <w:rPr>
          <w:rFonts w:ascii="Arial" w:cs="Arial" w:eastAsia="Arial" w:hAnsi="Arial"/>
          <w:b w:val="false"/>
          <w:bCs w:val="false"/>
          <w:color w:val="2C2C2C"/>
          <w:sz w:val="20"/>
          <w:szCs w:val="20"/>
        </w:rPr>
        <w:t xml:space="preserve">&lt;h2&gt;Comprehensive Data Management Approach&lt;/h2&gt;&lt;p&gt;FleetMax's data transformation strategy centers on establishing a unified, cloud-native data architecture that eliminates information silos and enables real-time operational visibility across all business functions. The comprehensive approach encompasses data governance, quality management, integration protocols, and analytics capabilities designed to support current operations while scaling for future growth requirements.&lt;/p&gt;&lt;p&gt;&lt;strong&gt;Data Architecture Vision:&lt;/strong&gt; Implementation of a modern data lake architecture supporting both structured operational data and unstructured content including customer communications, vehicle images, and maintenance documentation. This foundation enables advanced analytics capabilities while maintaining operational system performance and data accessibility requirements.&lt;/p&gt;&lt;p&gt;&lt;strong&gt;Master Data Management:&lt;/strong&gt; Establishment of authoritative data sources for customers, vehicles, vendors, and locations with automated data quality monitoring and cleansing protocols. Standardized data models ensure consistency across all operational systems while supporting historical data migration and preservation requirements.&lt;/p&gt;&lt;p&gt;&lt;strong&gt;Real-Time Data Integration:&lt;/strong&gt; Deployment of enterprise service bus architecture enabling real-time data synchronization between operational systems, analytics platforms, and external partner interfaces. API-first integration approach ensures scalability and supports future system additions without architectural modifications.&lt;/p&gt;&lt;p&gt;&lt;strong&gt;Data Governance Framework:&lt;/strong&gt; Implementation of comprehensive data stewardship programs with defined roles, responsibilities, and accountability measures for data quality maintenance. Automated compliance monitoring ensures adherence to privacy regulations and industry standards while supporting audit requirements.&lt;/p&gt;</w:t>
      </w:r>
    </w:p>
    <w:p>
      <w:pPr>
        <w:spacing w:after="80"/>
      </w:pPr>
      <w:r>
        <w:t xml:space="preserve"/>
      </w:r>
    </w:p>
    <w:p>
      <w:pPr>
        <w:spacing w:after="8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23. Technology Roadmap</w:t>
      </w:r>
    </w:p>
    <w:p>
      <w:pPr>
        <w:spacing w:after="120" w:before="80"/>
      </w:pPr>
      <w:r>
        <w:rPr>
          <w:rFonts w:ascii="Arial" w:cs="Arial" w:eastAsia="Arial" w:hAnsi="Arial"/>
          <w:b w:val="false"/>
          <w:bCs w:val="false"/>
          <w:color w:val="2C2C2C"/>
          <w:sz w:val="20"/>
          <w:szCs w:val="20"/>
        </w:rPr>
        <w:t xml:space="preserve">&lt;h2&gt;Technical Implementation Plan&lt;/h2&gt;&lt;p&gt;The technology transformation roadmap prioritizes cloud-native solutions providing scalability, reliability, and advanced functionality while minimizing operational disruption during implementation. The phased approach ensures business continuity while delivering measurable improvements at each milestone.&lt;/p&gt;&lt;p&gt;&lt;strong&gt;Phase 1 - Foundation Infrastructure (Months 1-6):&lt;/strong&gt; Cloud platform establishment with core data integration capabilities and security framework implementation. Migration of non-critical systems to establish operational confidence and technical competency before addressing mission-critical applications.&lt;/p&gt;&lt;p&gt;&lt;strong&gt;Phase 2 - Core System Integration (Months 4-12):&lt;/strong&gt; ERP platform deployment with customer management, fleet operations, and financial management modules. Parallel operation with legacy systems during validation period ensures operational continuity and data integrity verification.&lt;/p&gt;&lt;p&gt;&lt;strong&gt;Phase 3 - Analytics and Optimization (Months 8-18):&lt;/strong&gt; Business intelligence platform implementation with predictive analytics capabilities, automated reporting, and real-time operational dashboards. Mobile application deployment enabling field operations and customer self-service capabilities.&lt;/p&gt;&lt;p&gt;&lt;strong&gt;Technology Selection Criteria:&lt;/strong&gt; Platform selections prioritize vendor stability, industry-specific functionality, integration capabilities, and total cost of ownership considerations. Cloud-first architecture ensures scalability while reducing infrastructure management overhead and providing disaster recovery capabilities.&lt;/p&gt;&lt;p&gt;&lt;strong&gt;Security and Compliance Integration:&lt;/strong&gt; Comprehensive security framework including data encryption, access controls, audit logging, and compliance monitoring integrated throughout all technology components. Regular security assessments and penetration testing ensure ongoing protection of sensitive customer and operational data.&lt;/p&gt;</w:t>
      </w:r>
    </w:p>
    <w:p>
      <w:pPr>
        <w:spacing w:after="80"/>
      </w:pPr>
      <w:r>
        <w:t xml:space="preserve"/>
      </w:r>
    </w:p>
    <w:p>
      <w:pPr>
        <w:spacing w:after="8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24. Process Improvements</w:t>
      </w:r>
    </w:p>
    <w:p>
      <w:pPr>
        <w:spacing w:after="120" w:before="80"/>
      </w:pPr>
      <w:r>
        <w:rPr>
          <w:rFonts w:ascii="Arial" w:cs="Arial" w:eastAsia="Arial" w:hAnsi="Arial"/>
          <w:b w:val="false"/>
          <w:bCs w:val="false"/>
          <w:color w:val="2C2C2C"/>
          <w:sz w:val="20"/>
          <w:szCs w:val="20"/>
        </w:rPr>
        <w:t xml:space="preserve">&lt;h2&gt;Operational Enhancement Strategies&lt;/h2&gt;&lt;p&gt;Process optimization focuses on automation, standardization, and workflow efficiency improvements that leverage enhanced data accessibility and system integration capabilities. The approach addresses current operational bottlenecks while establishing scalable processes supporting business growth objectives.&lt;/p&gt;&lt;p&gt;&lt;strong&gt;Customer Service Process Redesign:&lt;/strong&gt; Implementation of integrated customer service workflows providing representatives with comprehensive customer history, vehicle status, and resolution options through unified interfaces. Automated escalation protocols and knowledge management systems improve resolution speed and consistency.&lt;/p&gt;&lt;p&gt;&lt;strong&gt;Fleet Operations Optimization:&lt;/strong&gt; Establishment of automated maintenance scheduling based on predictive analytics, vehicle utilization patterns, and cost optimization algorithms. Real-time fleet tracking and allocation systems maximize utilization while ensuring vehicle availability for customer commitments.&lt;/p&gt;&lt;p&gt;&lt;strong&gt;Financial Management Automation:&lt;/strong&gt; Automated reconciliation processes and real-time profitability tracking eliminate manual reconciliation requirements while providing management with timely financial visibility. Integration with operational systems enables accurate cost allocation and pricing optimization strategies.&lt;/p&gt;&lt;p&gt;&lt;strong&gt;Quality Assurance Protocols:&lt;/strong&gt; Implementation of automated data validation, error detection, and correction workflows ensuring information accuracy while reducing manual verification requirements. Exception reporting and dashboard monitoring provide proactive identification of process issues.&lt;/p&gt;&lt;p&gt;&lt;strong&gt;Performance Management Framework:&lt;/strong&gt; Establishment of key performance indicator monitoring with automated alerting and corrective action protocols. Regular process review cycles ensure continuous improvement and adaptation to changing business requirements.&lt;/p&gt;</w:t>
      </w:r>
    </w:p>
    <w:p>
      <w:pPr>
        <w:spacing w:after="80"/>
      </w:pPr>
      <w:r>
        <w:t xml:space="preserve"/>
      </w:r>
    </w:p>
    <w:p>
      <w:pPr>
        <w:spacing w:after="8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25. Success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Kpi</w:t>
            </w:r>
          </w:p>
        </w:tc>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Target</w:t>
            </w:r>
          </w:p>
        </w:tc>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Measurement Method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r>
    </w:tbl>
    <w:p>
      <w:pPr>
        <w:spacing w:after="80"/>
      </w:pPr>
      <w:r>
        <w:t xml:space="preserve"/>
      </w:r>
    </w:p>
    <w:p>
      <w:pPr>
        <w:spacing w:after="8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26. Implementation Roadmap</w:t>
      </w:r>
    </w:p>
    <w:p>
      <w:pPr>
        <w:spacing w:after="80"/>
      </w:pPr>
      <w:r>
        <w:t xml:space="preserve"/>
      </w:r>
    </w:p>
    <w:p>
      <w:pPr>
        <w:spacing w:after="8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27. Phases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Phase</w:t>
            </w:r>
          </w:p>
        </w:tc>
        <w:tc>
          <w:tcPr>
            <w:tcW w:type="dxa" w:w="1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Timeline</w:t>
            </w:r>
          </w:p>
        </w:tc>
        <w:tc>
          <w:tcPr>
            <w:tcW w:type="dxa" w:w="1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Deliverables</w:t>
            </w:r>
          </w:p>
        </w:tc>
        <w:tc>
          <w:tcPr>
            <w:tcW w:type="dxa" w:w="1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Resources</w:t>
            </w:r>
          </w:p>
        </w:tc>
        <w:tc>
          <w:tcPr>
            <w:tcW w:type="dxa" w:w="1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Dependencies</w:t>
            </w:r>
          </w:p>
        </w:tc>
        <w:tc>
          <w:tcPr>
            <w:tcW w:type="dxa" w:w="1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Success Criteria</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r>
    </w:tbl>
    <w:p>
      <w:pPr>
        <w:spacing w:after="80"/>
      </w:pPr>
      <w:r>
        <w:t xml:space="preserve"/>
      </w:r>
    </w:p>
    <w:p>
      <w:pPr>
        <w:spacing w:after="8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28. Risk Mitigation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Risk</w:t>
            </w:r>
          </w:p>
        </w:tc>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Probability</w:t>
            </w:r>
          </w:p>
        </w:tc>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Impact</w:t>
            </w:r>
          </w:p>
        </w:tc>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Mitigation Strategy</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r>
    </w:tbl>
    <w:p>
      <w:pPr>
        <w:spacing w:after="80"/>
      </w:pPr>
      <w:r>
        <w:t xml:space="preserve"/>
      </w:r>
    </w:p>
    <w:p>
      <w:pPr>
        <w:spacing w:after="8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29. Financial Analysis</w:t>
      </w:r>
    </w:p>
    <w:p>
      <w:pPr>
        <w:spacing w:after="80"/>
      </w:pPr>
      <w:r>
        <w:t xml:space="preserve"/>
      </w:r>
    </w:p>
    <w:p>
      <w:pPr>
        <w:spacing w:after="8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30. Investment Requirements</w:t>
      </w:r>
    </w:p>
    <w:p>
      <w:pPr>
        <w:spacing w:after="120" w:before="80"/>
      </w:pPr>
      <w:r>
        <w:rPr>
          <w:rFonts w:ascii="Arial" w:cs="Arial" w:eastAsia="Arial" w:hAnsi="Arial"/>
          <w:b w:val="false"/>
          <w:bCs w:val="false"/>
          <w:color w:val="2C2C2C"/>
          <w:sz w:val="20"/>
          <w:szCs w:val="20"/>
        </w:rPr>
        <w:t xml:space="preserve">&lt;h2&gt;Resource Allocation Needs&lt;/h2&gt;&lt;p&gt;The comprehensive data transformation initiative requires a total investment of $2.8 million over 18 months, encompassing technology infrastructure, software licensing, implementation services, and organizational development components. This investment represents a strategic commitment to operational excellence and competitive positioning in the car rental industry.&lt;/p&gt;&lt;p&gt;&lt;strong&gt;Technology Infrastructure Investment:&lt;/strong&gt; Cloud platform establishment and migration services require $680,000 including setup, configuration, and initial operational capacity. This includes redundant systems, disaster recovery capabilities, and security framework implementation ensuring enterprise-grade operational reliability.&lt;/p&gt;&lt;p&gt;&lt;strong&gt;Software Licensing and Subscription Costs:&lt;/strong&gt; ERP platform licensing for 150 users plus business intelligence and analytics platform subscriptions total $420,000 annually with first-year implementation support included. Mobile application licensing and customer portal development add $180,000 to initial investment requirements.&lt;/p&gt;&lt;p&gt;&lt;strong&gt;Implementation and Consulting Services:&lt;/strong&gt; Professional services for system implementation, data migration, and integration development require $950,000 including vendor consulting, independent technical advisory, and specialized training development. This investment ensures proper implementation and knowledge transfer for sustainable operations.&lt;/p&gt;&lt;p&gt;&lt;strong&gt;Training and Change Management:&lt;/strong&gt; Comprehensive organizational development program including training, change management, and process redesign support requires $280,000 ensuring successful user adoption and operational efficiency achievement. This includes ongoing training materials and competency development programs.&lt;/p&gt;&lt;p&gt;&lt;strong&gt;Contingency and Risk Mitigation:&lt;/strong&gt; Project contingency allocation of $290,000 (approximately 12% of total budget) provides financial buffer for unforeseen technical challenges, scope adjustments, and vendor performance issues ensuring project completion within acceptable parameters.&lt;/p&gt;</w:t>
      </w:r>
    </w:p>
    <w:p>
      <w:pPr>
        <w:spacing w:after="80"/>
      </w:pPr>
      <w:r>
        <w:t xml:space="preserve"/>
      </w:r>
    </w:p>
    <w:p>
      <w:pPr>
        <w:spacing w:after="8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31. Expected Roi</w:t>
      </w:r>
    </w:p>
    <w:p>
      <w:pPr>
        <w:spacing w:after="120" w:before="80"/>
      </w:pPr>
      <w:r>
        <w:rPr>
          <w:rFonts w:ascii="Arial" w:cs="Arial" w:eastAsia="Arial" w:hAnsi="Arial"/>
          <w:b w:val="false"/>
          <w:bCs w:val="false"/>
          <w:color w:val="2C2C2C"/>
          <w:sz w:val="20"/>
          <w:szCs w:val="20"/>
        </w:rPr>
        <w:t xml:space="preserve">&lt;h2&gt;Return on Investment Projection&lt;/h2&gt;&lt;p&gt;Financial modeling indicates a robust return on investment with projected annual benefits of $1.8 million beginning in year two, achieving complete investment payback within 22 months of implementation completion. The ROI analysis encompasses operational efficiency gains, revenue optimization, and cost reduction benefits across all business functions.&lt;/p&gt;&lt;p&gt;&lt;strong&gt;Revenue Optimization Benefits:&lt;/strong&gt; Dynamic pricing capabilities and improved fleet utilization are projected to increase annual revenue by $1.2 million through 18% improvement in pricing optimization and 15% increase in vehicle utilization rates. Enhanced customer experience and retention improvements add $340,000 in additional annual revenue.&lt;/p&gt;&lt;p&gt;&lt;strong&gt;Operational Cost Reductions:&lt;/strong&gt; Automated processes and improved efficiency deliver $520,000 in annual labor cost savings through reduced manual reconciliation, improved customer service productivity, and streamlined operational workflows. Maintenance cost optimization provides additional $180,000 annual savings through predictive scheduling and vendor management improvements.&lt;/p&gt;&lt;p&gt;&lt;strong&gt;Technology Cost Optimization:&lt;/strong&gt; Consolidation of legacy systems and cloud infrastructure efficiency reduce annual technology costs by $95,000 while providing improved capabilities and scalability. Reduced system maintenance and support requirements contribute additional operational savings.&lt;/p&gt;&lt;p&gt;&lt;strong&gt;Risk Mitigation Value:&lt;/strong&gt; Enhanced data security and compliance capabilities provide quantifiable risk reduction value estimated at $150,000 annually through reduced regulatory exposure, improved audit capabilities, and enhanced customer trust and retention.&lt;/p&gt;</w:t>
      </w:r>
    </w:p>
    <w:p>
      <w:pPr>
        <w:spacing w:after="80"/>
      </w:pPr>
      <w:r>
        <w:t xml:space="preserve"/>
      </w:r>
    </w:p>
    <w:p>
      <w:pPr>
        <w:spacing w:after="8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32. Cost Benefit Analysis</w:t>
      </w:r>
    </w:p>
    <w:p>
      <w:pPr>
        <w:spacing w:after="120" w:before="80"/>
      </w:pPr>
      <w:r>
        <w:rPr>
          <w:rFonts w:ascii="Arial" w:cs="Arial" w:eastAsia="Arial" w:hAnsi="Arial"/>
          <w:b w:val="false"/>
          <w:bCs w:val="false"/>
          <w:color w:val="2C2C2C"/>
          <w:sz w:val="20"/>
          <w:szCs w:val="20"/>
        </w:rPr>
        <w:t xml:space="preserve">&lt;h2&gt;Financial Impact Assessment&lt;/h2&gt;&lt;p&gt;Comprehensive cost-benefit analysis demonstrates substantial positive financial impact with net present value of $4.2 million over five years at 10% discount rate. The analysis incorporates both quantifiable financial benefits and strategic value creation supporting long-term competitive positioning and growth capabilities.&lt;/p&gt;&lt;p&gt;&lt;strong&gt;Quantifiable Financial Benefits:&lt;/strong&gt;&lt;/p&gt;&lt;table&gt;&lt;thead&gt;&lt;tr&gt;&lt;th&gt;Benefit Category&lt;/th&gt;&lt;th&gt;Year 1&lt;/th&gt;&lt;th&gt;Year 2&lt;/th&gt;&lt;th&gt;Year 3&lt;/th&gt;&lt;th&gt;Annual Value&lt;/th&gt;&lt;th&gt;5-Year Total&lt;/th&gt;&lt;/tr&gt;&lt;/thead&gt;&lt;tbody&gt;&lt;tr&gt;&lt;td&gt;Revenue Optimization&lt;/td&gt;&lt;td&gt;$180,000&lt;/td&gt;&lt;td&gt;$1,200,000&lt;/td&gt;&lt;td&gt;$1,380,000&lt;/td&gt;&lt;td&gt;$1,380,000&lt;/td&gt;&lt;td&gt;$6,240,000&lt;/td&gt;&lt;/tr&gt;&lt;tr&gt;&lt;td&gt;Operational Efficiency&lt;/td&gt;&lt;td&gt;$85,000&lt;/td&gt;&lt;td&gt;$520,000&lt;/td&gt;&lt;td&gt;$580,000&lt;/td&gt;&lt;td&gt;$620,000&lt;/td&gt;&lt;td&gt;$2,785,000&lt;/td&gt;&lt;/tr&gt;&lt;tr&gt;&lt;td&gt;Technology Savings&lt;/td&gt;&lt;td&gt;$25,000&lt;/td&gt;&lt;td&gt;$95,000&lt;/td&gt;&lt;td&gt;$110,000&lt;/td&gt;&lt;td&gt;$125,000&lt;/td&gt;&lt;td&gt;$530,000&lt;/td&gt;&lt;/tr&gt;&lt;tr&gt;&lt;td&gt;Risk Mitigation&lt;/td&gt;&lt;td&gt;$40,000&lt;/td&gt;&lt;td&gt;$150,000&lt;/td&gt;&lt;td&gt;$165,000&lt;/td&gt;&lt;td&gt;$180,000&lt;/td&gt;&lt;td&gt;$815,000&lt;/td&gt;&lt;/tr&gt;&lt;tr&gt;&lt;td&gt;Total Annual Benefits&lt;/td&gt;&lt;td&gt;$330,000&lt;/td&gt;&lt;td&gt;$1,965,000&lt;/td&gt;&lt;td&gt;$2,235,000&lt;/td&gt;&lt;td&gt;$2,305,000&lt;/td&gt;&lt;td&gt;$10,370,000&lt;/td&gt;&lt;/tr&gt;&lt;/tbody&gt;&lt;/table&gt;&lt;p&gt;&lt;strong&gt;Strategic Value Creation:&lt;/strong&gt; Beyond quantifiable financial returns, the initiative delivers strategic benefits including competitive differentiation through technology leadership, scalability supporting growth expansion, and enhanced customer satisfaction driving long-term market positioning. These strategic benefits provide additional value creation difficult to quantify but essential for sustainable competitive advantage.&lt;/p&gt;&lt;p&gt;&lt;strong&gt;Implementation Cost Distribution:&lt;/strong&gt;&lt;/p&gt;&lt;table&gt;&lt;thead&gt;&lt;tr&gt;&lt;th&gt;Cost Category&lt;/th&gt;&lt;th&gt;Year 1&lt;/th&gt;&lt;th&gt;Year 2&lt;/th&gt;&lt;th&gt;Year 3+&lt;/th&gt;&lt;th&gt;Description&lt;/th&gt;&lt;/tr&gt;&lt;/thead&gt;&lt;tbody&gt;&lt;tr&gt;&lt;td&gt;Initial Investment&lt;/td&gt;&lt;td&gt;$2,800,000&lt;/td&gt;&lt;td&gt;$0&lt;/td&gt;&lt;td&gt;$0&lt;/td&gt;&lt;td&gt;One-time implementation costs&lt;/td&gt;&lt;/tr&gt;&lt;tr&gt;&lt;td&gt;Annual Operating&lt;/td&gt;&lt;td&gt;$420,000&lt;/td&gt;&lt;td&gt;$485,000&lt;/td&gt;&lt;td&gt;$520,000&lt;/td&gt;&lt;td&gt;Software licensing and support&lt;/td&gt;&lt;/tr&gt;&lt;tr&gt;&lt;td&gt;Maintenance&lt;/td&gt;&lt;td&gt;$65,000&lt;/td&gt;&lt;td&gt;$125,000&lt;/td&gt;&lt;td&gt;$140,000&lt;/td&gt;&lt;td&gt;System maintenance and updates&lt;/td&gt;&lt;/tr&gt;&lt;tr&gt;&lt;td&gt;Training/Development&lt;/td&gt;&lt;td&gt;$85,000&lt;/td&gt;&lt;td&gt;$45,000&lt;/td&gt;&lt;td&gt;$35,000&lt;/td&gt;&lt;td&gt;Ongoing skill development&lt;/td&gt;&lt;/tr&gt;&lt;tr&gt;&lt;td&gt;Total Annual Costs&lt;/td&gt;&lt;td&gt;$3,370,000&lt;/td&gt;&lt;td&gt;$655,000&lt;/td&gt;&lt;td&gt;$695,000&lt;/td&gt;&lt;td&gt;Comprehensive cost analysis&lt;/td&gt;&lt;/tr&gt;&lt;/tbody&gt;&lt;/table&gt;</w:t>
      </w:r>
    </w:p>
    <w:p>
      <w:pPr>
        <w:spacing w:after="80"/>
      </w:pPr>
      <w:r>
        <w:t xml:space="preserve"/>
      </w:r>
    </w:p>
    <w:p>
      <w:pPr>
        <w:spacing w:after="8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33. Payback Period</w:t>
      </w:r>
    </w:p>
    <w:p>
      <w:pPr>
        <w:spacing w:after="120" w:before="80"/>
      </w:pPr>
      <w:r>
        <w:rPr>
          <w:rFonts w:ascii="Arial" w:cs="Arial" w:eastAsia="Arial" w:hAnsi="Arial"/>
          <w:b w:val="false"/>
          <w:bCs w:val="false"/>
          <w:color w:val="2C2C2C"/>
          <w:sz w:val="20"/>
          <w:szCs w:val="20"/>
        </w:rPr>
        <w:t xml:space="preserve">&lt;h2&gt;Investment Recovery Timeline&lt;/h2&gt;&lt;p&gt;Investment payback analysis indicates full cost recovery within 22 months of implementation completion, with positive cash flow beginning in month 8 of year two. The payback calculation incorporates both initial investment costs and ongoing operational expenses while accounting for the phased benefit realization throughout the implementation period.&lt;/p&gt;&lt;p&gt;&lt;strong&gt;Phased Payback Analysis:&lt;/strong&gt; Implementation benefits accrue incrementally as system components become operational. Initial efficiency gains from core system deployment provide $330,000 first-year benefits, with full benefit realization of $1.96 million annually beginning in year two following complete system integration and user adoption.&lt;/p&gt;&lt;p&gt;&lt;strong&gt;Cash Flow Projection:&lt;/strong&gt;&lt;/p&gt;&lt;table&gt;&lt;thead&gt;&lt;tr&gt;&lt;th&gt;Period&lt;/th&gt;&lt;th&gt;Cumulative Investment&lt;/th&gt;&lt;th&gt;Annual Benefits&lt;/th&gt;&lt;th&gt;Net Cash Flow&lt;/th&gt;&lt;th&gt;Cumulative Net&lt;/th&gt;&lt;/tr&gt;&lt;/thead&gt;&lt;tbody&gt;&lt;tr&gt;&lt;td&gt;Month 6&lt;/td&gt;&lt;td&gt;$1,400,000&lt;/td&gt;&lt;td&gt;$85,000&lt;/td&gt;&lt;td&gt;($1,315,000)&lt;/td&gt;&lt;td&gt;($1,315,000)&lt;/td&gt;&lt;/tr&gt;&lt;tr&gt;&lt;td&gt;Month 12&lt;/td&gt;&lt;td&gt;$2,800,000&lt;/td&gt;&lt;td&gt;$330,000&lt;/td&gt;&lt;td&gt;($2,470,000)&lt;/td&gt;&lt;td&gt;($2,470,000)&lt;/td&gt;&lt;/tr&gt;&lt;tr&gt;&lt;td&gt;Month 18&lt;/td&gt;&lt;td&gt;$3,220,000&lt;/td&gt;&lt;td&gt;$980,000&lt;/td&gt;&lt;td&gt;($2,240,000)&lt;/td&gt;&lt;td&gt;($2,240,000)&lt;/td&gt;&lt;/tr&gt;&lt;tr&gt;&lt;td&gt;Month 24&lt;/td&gt;&lt;td&gt;$3,640,000&lt;/td&gt;&lt;td&gt;$1,965,000&lt;/td&gt;&lt;td&gt;($1,675,000)&lt;/td&gt;&lt;td&gt;($1,675,000)&lt;/td&gt;&lt;/tr&gt;&lt;tr&gt;&lt;td&gt;Month 30&lt;/td&gt;&lt;td&gt;$3,935,000&lt;/td&gt;&lt;td&gt;$2,235,000&lt;/td&gt;&lt;td&gt;($1,700,000)&lt;/td&gt;&lt;td&gt;($1,440,000)&lt;/td&gt;&lt;/tr&gt;&lt;tr&gt;&lt;td&gt;Month 36&lt;/td&gt;&lt;td&gt;$4,230,000&lt;/td&gt;&lt;td&gt;$2,305,000&lt;/td&gt;&lt;td&gt;($1,925,000)&lt;/td&gt;&lt;td&gt;($435,000)&lt;/td&gt;&lt;/tr&gt;&lt;tr&gt;&lt;td&gt;Month 42&lt;/td&gt;&lt;td&gt;$4,525,000&lt;/td&gt;&lt;td&gt;$2,305,000&lt;/td&gt;&lt;td&gt;($220,000)&lt;/td&gt;&lt;td&gt;$655,000&lt;/td&gt;&lt;/tr&gt;&lt;/tbody&gt;&lt;/table&gt;&lt;p&gt;&lt;strong&gt;Accelerated Benefits Realization:&lt;/strong&gt; Strategic focus on high-impact improvements during early implementation phases accelerates payback timing. Priority implementation of customer service efficiency improvements and fleet utilization optimization delivers immediate operational benefits while building user confidence for subsequent advanced analytics deployment.&lt;/p&gt;&lt;p&gt;&lt;strong&gt;Risk-Adjusted Payback:&lt;/strong&gt; Conservative modeling incorporating 15% implementation delay risk and 10% benefit realization shortfall maintains payback achievement within 26 months, demonstrating project financial viability under adverse conditions and providing investment confidence for executive decision-making.&lt;/p&gt;</w:t>
      </w:r>
    </w:p>
    <w:p>
      <w:pPr>
        <w:spacing w:after="80"/>
      </w:pPr>
      <w:r>
        <w:t xml:space="preserve"/>
      </w:r>
    </w:p>
    <w:p>
      <w:pPr>
        <w:spacing w:after="8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34. Recommendations</w:t>
      </w:r>
    </w:p>
    <w:p>
      <w:pPr>
        <w:spacing w:after="80"/>
      </w:pPr>
      <w:r>
        <w:t xml:space="preserve"/>
      </w:r>
    </w:p>
    <w:p>
      <w:pPr>
        <w:spacing w:after="8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35. Immediate Actions</w:t>
      </w:r>
    </w:p>
    <w:p>
      <w:pPr>
        <w:spacing w:after="120" w:before="80"/>
      </w:pPr>
      <w:r>
        <w:rPr>
          <w:rFonts w:ascii="Arial" w:cs="Arial" w:eastAsia="Arial" w:hAnsi="Arial"/>
          <w:b w:val="false"/>
          <w:bCs w:val="false"/>
          <w:color w:val="2C2C2C"/>
          <w:sz w:val="20"/>
          <w:szCs w:val="20"/>
        </w:rPr>
        <w:t xml:space="preserve">&lt;h2&gt;Short-Term Initiatives&lt;/h2&gt;&lt;p&gt;Immediate implementation of foundational improvements addressing critical operational inefficiencies while establishing the framework for comprehensive data transformation. These short-term actions provide immediate business value while preparing the organization for strategic technology implementation.&lt;/p&gt;&lt;p&gt;&lt;strong&gt;Data Quality Improvement Initiative:&lt;/strong&gt; Launch immediate data cleansing project addressing duplicate customer records, incomplete vehicle information, and standardizing data formats across existing systems. Establish data entry protocols and validation rules preventing future quality degradation while preparing clean datasets for system migration.&lt;/p&gt;&lt;p&gt;&lt;strong&gt;Emergency Integration Solutions:&lt;/strong&gt; Implement interim data synchronization tools providing basic integration between critical systems to reduce manual reconciliation requirements and improve operational visibility. These bridging solutions provide immediate efficiency gains while comprehensive integration capabilities are developed.&lt;/p&gt;&lt;p&gt;&lt;strong&gt;User Training and Process Standardization:&lt;/strong&gt; Conduct comprehensive training on existing systems to optimize current capabilities while establishing standardized procedures reducing process variation and improving efficiency. This foundation ensures smooth transition to new systems and maintains operational continuity during implementation.&lt;/p&gt;&lt;p&gt;&lt;strong&gt;Vendor Selection and Contracting:&lt;/strong&gt; Complete vendor evaluation and contract negotiation for core technology platforms ensuring favorable terms, service level agreements, and implementation timelines. Early vendor engagement enables detailed implementation planning and resource coordination.&lt;/p&gt;&lt;p&gt;&lt;strong&gt;Project Governance Establishment:&lt;/strong&gt; Form dedicated project team with clear roles, responsibilities, and decision-making authority. Establish communication protocols, progress reporting procedures, and stakeholder engagement processes ensuring effective project management and organizational alignment.&lt;/p&gt;</w:t>
      </w:r>
    </w:p>
    <w:p>
      <w:pPr>
        <w:spacing w:after="80"/>
      </w:pPr>
      <w:r>
        <w:t xml:space="preserve"/>
      </w:r>
    </w:p>
    <w:p>
      <w:pPr>
        <w:spacing w:after="8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36. Medium Term Strategy</w:t>
      </w:r>
    </w:p>
    <w:p>
      <w:pPr>
        <w:spacing w:after="120" w:before="80"/>
      </w:pPr>
      <w:r>
        <w:rPr>
          <w:rFonts w:ascii="Arial" w:cs="Arial" w:eastAsia="Arial" w:hAnsi="Arial"/>
          <w:b w:val="false"/>
          <w:bCs w:val="false"/>
          <w:color w:val="2C2C2C"/>
          <w:sz w:val="20"/>
          <w:szCs w:val="20"/>
        </w:rPr>
        <w:t xml:space="preserve">&lt;h2&gt;6-12 Month Roadmap&lt;/h2&gt;&lt;p&gt;Strategic implementation of core technology platforms providing integrated data management capabilities, operational efficiency improvements, and foundational analytics supporting enhanced decision-making and customer service delivery.&lt;/p&gt;&lt;p&gt;&lt;strong&gt;ERP Platform Deployment:&lt;/strong&gt; Complete implementation of integrated enterprise resource planning system with customer management, fleet operations, and financial management modules. Phased deployment approach ensures business continuity while delivering immediate operational improvements and integration benefits.&lt;/p&gt;&lt;p&gt;&lt;strong&gt;Business Intelligence Foundation:&lt;/strong&gt; Establish business intelligence platform with automated reporting capabilities, real-time operational dashboards, and basic analytical functionality. Initial focus on replacing manual reporting processes while building organizational analytics competency for advanced capabilities.&lt;/p&gt;&lt;p&gt;&lt;strong&gt;Mobile Application Development:&lt;/strong&gt; Deploy mobile applications enabling field operations staff to access and update critical information in real-time. Customer-facing mobile capabilities improve service delivery and provide self-service options reducing customer service workload.&lt;/p&gt;&lt;p&gt;&lt;strong&gt;Process Automation Implementation:&lt;/strong&gt; Automate high-volume, repetitive processes including data reconciliation, maintenance scheduling, and customer communications. Workflow automation reduces manual effort while improving accuracy and consistency in operational procedures.&lt;/p&gt;&lt;p&gt;&lt;strong&gt;Security and Compliance Framework:&lt;/strong&gt; Implement comprehensive security protocols including data encryption, access controls, and compliance monitoring ensuring regulatory adherence and customer data protection. Regular security assessments validate ongoing protection effectiveness.&lt;/p&gt;</w:t>
      </w:r>
    </w:p>
    <w:p>
      <w:pPr>
        <w:spacing w:after="80"/>
      </w:pPr>
      <w:r>
        <w:t xml:space="preserve"/>
      </w:r>
    </w:p>
    <w:p>
      <w:pPr>
        <w:spacing w:after="8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37. Long Term Vision</w:t>
      </w:r>
    </w:p>
    <w:p>
      <w:pPr>
        <w:spacing w:after="120" w:before="80"/>
      </w:pPr>
      <w:r>
        <w:rPr>
          <w:rFonts w:ascii="Arial" w:cs="Arial" w:eastAsia="Arial" w:hAnsi="Arial"/>
          <w:b w:val="false"/>
          <w:bCs w:val="false"/>
          <w:color w:val="2C2C2C"/>
          <w:sz w:val="20"/>
          <w:szCs w:val="20"/>
        </w:rPr>
        <w:t xml:space="preserve">&lt;h2&gt;Strategic Transformation Goals&lt;/h2&gt;&lt;p&gt;Vision for FleetMax as an industry-leading, data-driven car rental organization leveraging advanced analytics, artificial intelligence, and customer-centric technology to deliver superior operational efficiency, customer experiences, and financial performance.&lt;/p&gt;&lt;p&gt;&lt;strong&gt;Predictive Analytics and AI Integration:&lt;/strong&gt; Advanced analytical capabilities enabling predictive maintenance scheduling, demand forecasting, dynamic pricing optimization, and customer behavior analysis. Machine learning algorithms continuously improve operational efficiency and revenue optimization based on historical patterns and market conditions.&lt;/p&gt;&lt;p&gt;&lt;strong&gt;Customer Experience Excellence:&lt;/strong&gt; Seamless, personalized customer experiences through integrated customer portals, mobile applications, and proactive service delivery. Predictive customer service identifies and addresses potential issues before they impact customer satisfaction, establishing FleetMax as the preferred car rental provider.&lt;/p&gt;&lt;p&gt;&lt;strong&gt;Operational Intelligence Platform:&lt;/strong&gt; Comprehensive operational monitoring and optimization platform providing real-time visibility into fleet performance, customer satisfaction, financial metrics, and market positioning. Advanced analytics support strategic decision-making and competitive advantage development.&lt;/p&gt;&lt;p&gt;&lt;strong&gt;Strategic Market Expansion:&lt;/strong&gt; Scalable technology infrastructure and operational processes supporting geographic expansion and service diversification. Data-driven market analysis identifies growth opportunities while efficient operations ensure profitable expansion into new markets and customer segments.&lt;/p&gt;&lt;p&gt;&lt;strong&gt;Industry Leadership and Innovation:&lt;/strong&gt; Recognition as technology and operational excellence leader in the car rental industry through continuous innovation, best practice development, and industry benchmarking. Strategic partnerships with technology vendors and industry organizations support ongoing advancement and competitive differentiation.&lt;/p&gt;</w:t>
      </w:r>
    </w:p>
    <w:p>
      <w:pPr>
        <w:spacing w:after="80"/>
      </w:pPr>
      <w:r>
        <w:t xml:space="preserve"/>
      </w:r>
    </w:p>
    <w:p>
      <w:pPr>
        <w:spacing w:after="8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38. Change Management</w:t>
      </w:r>
    </w:p>
    <w:p>
      <w:pPr>
        <w:spacing w:after="120" w:before="80"/>
      </w:pPr>
      <w:r>
        <w:rPr>
          <w:rFonts w:ascii="Arial" w:cs="Arial" w:eastAsia="Arial" w:hAnsi="Arial"/>
          <w:b w:val="false"/>
          <w:bCs w:val="false"/>
          <w:color w:val="2C2C2C"/>
          <w:sz w:val="20"/>
          <w:szCs w:val="20"/>
        </w:rPr>
        <w:t xml:space="preserve">&lt;h2&gt;Organizational Adaptation Strategy&lt;/h2&gt;&lt;p&gt;Comprehensive change management approach ensuring successful organizational transformation through effective communication, training, and cultural development supporting the transition to data-driven operations and technology-enabled processes.&lt;/p&gt;&lt;p&gt;&lt;strong&gt;Leadership Engagement and Sponsorship:&lt;/strong&gt; Executive leadership commitment and visible sponsorship ensuring organizational alignment and resource allocation for successful transformation. Regular leadership communication reinforces vision, addresses concerns, and celebrates achievements maintaining momentum throughout implementation.&lt;/p&gt;&lt;p&gt;&lt;strong&gt;Communication and Stakeholder Engagement:&lt;/strong&gt; Multi-channel communication strategy providing regular updates, success stories, and feedback opportunities for all organizational levels. Stakeholder engagement sessions address concerns, collect input, and ensure user requirements are incorporated into system design and implementation approaches.&lt;/p&gt;&lt;p&gt;&lt;strong&gt;Training and Competency Development:&lt;/strong&gt; Comprehensive training program with role-specific curricula, hands-on practice opportunities, and competency validation ensuring users can effectively utilize new systems and processes. Ongoing training support and refresher sessions maintain skill levels and support continuous improvement.&lt;/p&gt;&lt;p&gt;&lt;strong&gt;Cultural Transformation Support:&lt;/strong&gt; Change management initiatives promoting data-driven decision making, continuous improvement mindset, and technology adoption across all organizational levels. Recognition and incentive programs reward positive behaviors and achievements supporting cultural transformation goals.&lt;/p&gt;&lt;p&gt;&lt;strong&gt;Performance Management Alignment:&lt;/strong&gt; Integration of new systems and processes into performance management frameworks ensuring individual and team objectives align with transformation goals. Key performance indicators and accountability measures support sustained adoption and operational excellence achievement.&lt;/p&gt;</w:t>
      </w:r>
    </w:p>
    <w:p>
      <w:pPr>
        <w:spacing w:after="80"/>
      </w:pPr>
      <w:r>
        <w:t xml:space="preserve"/>
      </w:r>
    </w:p>
    <w:p>
      <w:pPr>
        <w:spacing w:after="8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39. Appendices</w:t>
      </w:r>
    </w:p>
    <w:p>
      <w:pPr>
        <w:spacing w:after="80"/>
      </w:pPr>
      <w:r>
        <w:t xml:space="preserve"/>
      </w:r>
    </w:p>
    <w:p>
      <w:pPr>
        <w:spacing w:after="8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40. Technical Specifications</w:t>
      </w:r>
    </w:p>
    <w:p>
      <w:pPr>
        <w:spacing w:after="120" w:before="80"/>
      </w:pPr>
      <w:r>
        <w:rPr>
          <w:rFonts w:ascii="Arial" w:cs="Arial" w:eastAsia="Arial" w:hAnsi="Arial"/>
          <w:b w:val="false"/>
          <w:bCs w:val="false"/>
          <w:color w:val="2C2C2C"/>
          <w:sz w:val="20"/>
          <w:szCs w:val="20"/>
        </w:rPr>
        <w:t xml:space="preserve">&lt;h2&gt;Detailed Technical Requirements&lt;/h2&gt;&lt;p&gt;Comprehensive technical architecture specifications defining system requirements, integration standards, security protocols, and performance criteria for successful implementation of the integrated data management platform.&lt;/p&gt;&lt;p&gt;&lt;strong&gt;System Architecture Requirements:&lt;/strong&gt;&lt;/p&gt;&lt;table&gt;&lt;thead&gt;&lt;tr&gt;&lt;th&gt;Component&lt;/th&gt;&lt;th&gt;Specification&lt;/th&gt;&lt;th&gt;Capacity Requirements&lt;/th&gt;&lt;th&gt;Performance Standards&lt;/th&gt;&lt;/tr&gt;&lt;/thead&gt;&lt;tbody&gt;&lt;tr&gt;&lt;td&gt;Cloud Infrastructure&lt;/td&gt;&lt;td&gt;AWS/Azure enterprise-grade with multi-region redundancy&lt;/td&gt;&lt;td&gt;500GB initial storage, 2TB growth projection&lt;/td&gt;&lt;td&gt;99.9% uptime SLA with sub-2 second response&lt;/td&gt;&lt;/tr&gt;&lt;tr&gt;&lt;td&gt;ERP Platform&lt;/td&gt;&lt;td&gt;SAP Business One or Microsoft Dynamics 365&lt;/td&gt;&lt;td&gt;150 concurrent users, 1M+ transaction capacity&lt;/td&gt;&lt;td&gt;Real-time data processing with batch overnight reconciliation&lt;/td&gt;&lt;/tr&gt;&lt;tr&gt;&lt;td&gt;Database System&lt;/td&gt;&lt;td&gt;SQL Server 2022 or PostgreSQL enterprise&lt;/td&gt;&lt;td&gt;Primary: 500GB, Archive: 2TB with automated backup&lt;/td&gt;&lt;td&gt;Transaction processing: &lt;100ms, Reporting: &lt;5 seconds&lt;/td&gt;&lt;/tr&gt;&lt;tr&gt;&lt;td&gt;Integration Platform&lt;/td&gt;&lt;td&gt;MuleSoft or Microsoft Azure Logic Apps&lt;/td&gt;&lt;td&gt;1000+ API calls/minute with error handling&lt;/td&gt;&lt;td&gt;Real-time synchronization with 30-second maximum latency&lt;/td&gt;&lt;/tr&gt;&lt;tr&gt;&lt;td&gt;Analytics Platform&lt;/td&gt;&lt;td&gt;Power BI Premium or Tableau Server&lt;/td&gt;&lt;td&gt;50 dashboard users, 500+ data sources&lt;/td&gt;&lt;td&gt;Report generation &lt;10 seconds, Dashboard refresh &lt;30 seconds&lt;/td&gt;&lt;/tr&gt;&lt;tr&gt;&lt;td&gt;Mobile Applications&lt;/td&gt;&lt;td&gt;Native iOS/Android with offline capabilities&lt;/td&gt;&lt;td&gt;200 field users with 24/7 availability&lt;/td&gt;&lt;td&gt;Offline sync within 5 minutes of connectivity restoration&lt;/td&gt;&lt;/tr&gt;&lt;/tbody&gt;&lt;/table&gt;&lt;p&gt;&lt;strong&gt;Integration Requirements:&lt;/strong&gt; RESTful API architecture with OAuth 2.0 authentication supporting real-time data exchange between all system components. Comprehensive error handling and retry mechanisms ensure data integrity during network interruptions or system maintenance periods.&lt;/p&gt;&lt;p&gt;&lt;strong&gt;Security Specifications:&lt;/strong&gt; AES-256 encryption for data at rest, TLS 1.3 for data in transit, multi-factor authentication for all user access, and role-based access controls with audit logging. Regular security assessments and penetration testing validate ongoing protection effectiveness.&lt;/p&gt;&lt;p&gt;&lt;strong&gt;Disaster Recovery Requirements:&lt;/strong&gt; Recovery Point Objective (RPO) of 4 hours, Recovery Time Objective (RTO) of 8 hours, with automated backup verification and tested recovery procedures updated quarterly.&lt;/p&gt;</w:t>
      </w:r>
    </w:p>
    <w:p>
      <w:pPr>
        <w:spacing w:after="80"/>
      </w:pPr>
      <w:r>
        <w:t xml:space="preserve"/>
      </w:r>
    </w:p>
    <w:p>
      <w:pPr>
        <w:spacing w:after="8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41. Vendor Analysis</w:t>
      </w:r>
    </w:p>
    <w:p>
      <w:pPr>
        <w:spacing w:after="120" w:before="80"/>
      </w:pPr>
      <w:r>
        <w:rPr>
          <w:rFonts w:ascii="Arial" w:cs="Arial" w:eastAsia="Arial" w:hAnsi="Arial"/>
          <w:b w:val="false"/>
          <w:bCs w:val="false"/>
          <w:color w:val="2C2C2C"/>
          <w:sz w:val="20"/>
          <w:szCs w:val="20"/>
        </w:rPr>
        <w:t xml:space="preserve">&lt;h2&gt;Solution Provider Evaluation&lt;/h2&gt;&lt;p&gt;Comprehensive assessment of technology vendors and service providers based on functionality, reliability, cost-effectiveness, and strategic alignment with FleetMax's operational requirements and growth objectives.&lt;/p&gt;&lt;p&gt;&lt;strong&gt;ERP Platform Vendor Comparison:&lt;/strong&gt;&lt;/p&gt;&lt;table&gt;&lt;thead&gt;&lt;tr&gt;&lt;th&gt;Vendor&lt;/th&gt;&lt;th&gt;Solution&lt;/th&gt;&lt;th&gt;Functionality Score&lt;/th&gt;&lt;th&gt;Implementation Cost&lt;/th&gt;&lt;th&gt;Annual Licensing&lt;/th&gt;&lt;th&gt;Recommendation&lt;/th&gt;&lt;/tr&gt;&lt;/thead&gt;&lt;tbody&gt;&lt;tr&gt;&lt;td&gt;SAP&lt;/td&gt;&lt;td&gt;Business One&lt;/td&gt;&lt;td&gt;85/100 - Strong car rental specific modules&lt;/td&gt;&lt;td&gt;$680,000&lt;/td&gt;&lt;td&gt;$156,000&lt;/td&gt;&lt;td&gt;Preferred - Industry experience and scalability&lt;/td&gt;&lt;/tr&gt;&lt;tr&gt;&lt;td&gt;Microsoft&lt;/td&gt;&lt;td&gt;Dynamics 365&lt;/td&gt;&lt;td&gt;82/100 - Excellent integration capabilities&lt;/td&gt;&lt;td&gt;$520,000&lt;/td&gt;&lt;td&gt;$142,000&lt;/td&gt;&lt;td&gt;Strong Alternative - Cloud-native architecture&lt;/td&gt;&lt;/tr&gt;&lt;tr&gt;&lt;td&gt;Oracle&lt;/td&gt;&lt;td&gt;NetSuite&lt;/td&gt;&lt;td&gt;78/100 - Good general functionality&lt;/td&gt;&lt;td&gt;$450,000&lt;/td&gt;&lt;td&gt;$128,000&lt;/td&gt;&lt;td&gt;Budget Option - Limited car rental specifics&lt;/td&gt;&lt;/tr&gt;&lt;tr&gt;&lt;td&gt;Infor&lt;/td&gt;&lt;td&gt;CloudSuite&lt;/td&gt;&lt;td&gt;89/100 - Excellent industry fit&lt;/td&gt;&lt;td&gt;$745,000&lt;/td&gt;&lt;td&gt;$168,000&lt;/td&gt;&lt;td&gt;Premium Choice - Highest functionality score&lt;/td&gt;&lt;/tr&gt;&lt;/tbody&gt;&lt;/table&gt;&lt;p&gt;&lt;strong&gt;Business Intelligence Vendor Assessment:&lt;/strong&gt; Power BI Premium selected based on seamless Microsoft ecosystem integration, competitive licensing costs, and robust self-service analytics capabilities. Tableau considered for advanced visualization requirements but higher total cost of ownership influenced final selection.&lt;/p&gt;&lt;p&gt;&lt;strong&gt;Cloud Infrastructure Provider Analysis:&lt;/strong&gt; Microsoft Azure recommended based on enterprise agreement pricing, hybrid cloud capabilities, and integration advantages with selected ERP and BI platforms. AWS evaluated with comparable technical capabilities but higher integration complexity and costs.&lt;/p&gt;&lt;p&gt;&lt;strong&gt;Implementation Partner Selection:&lt;/strong&gt; Certified implementation partners evaluated based on car rental industry experience, technical competency, and project delivery track record. Selected partner demonstrates successful implementations with similar-sized organizations and provides ongoing support capabilities.&lt;/p&gt;</w:t>
      </w:r>
    </w:p>
    <w:p>
      <w:pPr>
        <w:spacing w:after="80"/>
      </w:pPr>
      <w:r>
        <w:t xml:space="preserve"/>
      </w:r>
    </w:p>
    <w:p>
      <w:pPr>
        <w:spacing w:after="8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42. Data Governance</w:t>
      </w:r>
    </w:p>
    <w:p>
      <w:pPr>
        <w:spacing w:after="120" w:before="80"/>
      </w:pPr>
      <w:r>
        <w:rPr>
          <w:rFonts w:ascii="Arial" w:cs="Arial" w:eastAsia="Arial" w:hAnsi="Arial"/>
          <w:b w:val="false"/>
          <w:bCs w:val="false"/>
          <w:color w:val="2C2C2C"/>
          <w:sz w:val="20"/>
          <w:szCs w:val="20"/>
        </w:rPr>
        <w:t xml:space="preserve">&lt;h2&gt;Data Management Policies&lt;/h2&gt;&lt;p&gt;Comprehensive data governance framework establishing policies, procedures, and accountability measures ensuring data quality, security, compliance, and effective utilization across all organizational functions and technology platforms.&lt;/p&gt;&lt;p&gt;&lt;strong&gt;Data Stewardship Structure:&lt;/strong&gt;&lt;/p&gt;&lt;ul&gt;&lt;li&gt;&lt;strong&gt;Chief Data Officer:&lt;/strong&gt; Executive accountability for data strategy, governance oversight, and compliance management&lt;/li&gt;&lt;li&gt;&lt;strong&gt;Data Stewards:&lt;/strong&gt; Departmental representatives responsible for data quality, business rule definition, and user training&lt;/li&gt;&lt;li&gt;&lt;strong&gt;Data Custodians:&lt;/strong&gt; Technical administrators managing data security, backup procedures, and system maintenance&lt;/li&gt;&lt;li&gt;&lt;strong&gt;Business Users:&lt;/strong&gt; End users accountable for accurate data entry, validation, and appropriate usage protocols&lt;/li&gt;&lt;/ul&gt;&lt;p&gt;&lt;strong&gt;Data Quality Management:&lt;/strong&gt; Automated data validation rules preventing invalid entries, duplicate record identification and resolution procedures, and regular data quality assessment with corrective action protocols. Monthly data quality reports track improvement progress and identify areas requiring attention.&lt;/p&gt;&lt;p&gt;&lt;strong&gt;Security and Access Control Policies:&lt;/strong&gt; Role-based access controls with principle of least privilege, regular access reviews and certification processes, automated de-provisioning for terminated employees, and comprehensive audit logging with exception monitoring and investigation procedures.&lt;/p&gt;&lt;p&gt;&lt;strong&gt;Privacy and Compliance Framework:&lt;/strong&gt; GDPR and CCPA compliance protocols including data subject rights procedures, consent management, and breach notification processes. Regular compliance assessments and third-party audits validate adherence to regulatory requirements and industry standards.&lt;/p&gt;&lt;p&gt;&lt;strong&gt;Data Retention and Archival Policies:&lt;/strong&gt; Automated data lifecycle management with defined retention periods, secure disposal procedures for end-of-life data, and legal hold procedures supporting litigation and regulatory requirements. Archive storage optimization balances accessibility requirements with cost management objectives.&lt;/p&gt;</w:t>
      </w:r>
    </w:p>
    <w:p>
      <w:pPr>
        <w:spacing w:after="80"/>
      </w:pPr>
      <w:r>
        <w:t xml:space="preserve"/>
      </w:r>
    </w:p>
    <w:p>
      <w:pPr>
        <w:spacing w:after="8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43. Training Requirements</w:t>
      </w:r>
    </w:p>
    <w:p>
      <w:pPr>
        <w:spacing w:after="120" w:before="80"/>
      </w:pPr>
      <w:r>
        <w:rPr>
          <w:rFonts w:ascii="Arial" w:cs="Arial" w:eastAsia="Arial" w:hAnsi="Arial"/>
          <w:b w:val="false"/>
          <w:bCs w:val="false"/>
          <w:color w:val="2C2C2C"/>
          <w:sz w:val="20"/>
          <w:szCs w:val="20"/>
        </w:rPr>
        <w:t xml:space="preserve">&lt;h2&gt;Skill Development Needs&lt;/h2&gt;&lt;p&gt;Comprehensive training and competency development program ensuring successful adoption of new systems and processes while building organizational capabilities supporting sustained operational excellence and continuous improvement.&lt;/p&gt;&lt;p&gt;&lt;strong&gt;Role-Based Training Curricula:&lt;/strong&gt;&lt;/p&gt;&lt;table&gt;&lt;thead&gt;&lt;tr&gt;&lt;th&gt;User Role&lt;/th&gt;&lt;th&gt;Training Duration&lt;/th&gt;&lt;th&gt;Core Competencies&lt;/th&gt;&lt;th&gt;Delivery Method&lt;/th&gt;&lt;th&gt;Certification Required&lt;/th&gt;&lt;/tr&gt;&lt;/thead&gt;&lt;tbody&gt;&lt;tr&gt;&lt;td&gt;Executive Management&lt;/td&gt;&lt;td&gt;8 hours&lt;/td&gt;&lt;td&gt;Strategic dashboard usage, ROI analysis&lt;/td&gt;&lt;td&gt;Executive briefings and workshops&lt;/td&gt;&lt;td&gt;Leadership certification&lt;/td&gt;&lt;/tr&gt;&lt;tr&gt;&lt;td&gt;Customer Service&lt;/td&gt;&lt;td&gt;32 hours&lt;/td&gt;&lt;td&gt;CRM system operation, customer data access&lt;/td&gt;&lt;td&gt;Classroom and hands-on practice&lt;/td&gt;&lt;td&gt;Customer service certification&lt;/td&gt;&lt;/tr&gt;&lt;tr&gt;&lt;td&gt;Fleet Operations&lt;/td&gt;&lt;td&gt;28 hours&lt;/td&gt;&lt;td&gt;Fleet management system, mobile applications&lt;/td&gt;&lt;td&gt;Field training and simulation&lt;/td&gt;&lt;td&gt;Operations certification&lt;/td&gt;&lt;/tr&gt;&lt;tr&gt;&lt;td&gt;Financial Staff&lt;/td&gt;&lt;td&gt;24 hours&lt;/td&gt;&lt;td&gt;Financial reporting, reconciliation procedures&lt;/td&gt;&lt;td&gt;System training and case studies&lt;/td&gt;&lt;td&gt;Financial systems certification&lt;/td&gt;&lt;/tr&gt;&lt;tr&gt;&lt;td&gt;IT Support&lt;/td&gt;&lt;td&gt;40 hours&lt;/td&gt;&lt;td&gt;System administration, troubleshooting&lt;/td&gt;&lt;td&gt;Technical workshops and vendor training&lt;/td&gt;&lt;td&gt;Technical certification required&lt;/td&gt;&lt;/tr&gt;&lt;tr&gt;&lt;td&gt;Data Analysts&lt;/td&gt;&lt;td&gt;48 hours&lt;/td&gt;&lt;td&gt;Analytics platform, report development&lt;/td&gt;&lt;td&gt;Intensive workshops and mentoring&lt;/td&gt;&lt;td&gt;Analytics certification required&lt;/td&gt;&lt;/tr&gt;&lt;/tbody&gt;&lt;/table&gt;&lt;p&gt;&lt;strong&gt;Training Delivery Strategy:&lt;/strong&gt; Blended learning approach combining instructor-led sessions, online modules, hands-on practice environments, and peer mentoring programs. Flexible scheduling accommodates operational requirements while ensuring comprehensive coverage for all user roles.&lt;/p&gt;&lt;p&gt;&lt;strong&gt;Competency Validation and Certification:&lt;/strong&gt; Skills assessment testing with practical demonstrations ensuring users can effectively perform job-related tasks using new systems. Certification requirements with refresher training maintaining competency levels and supporting career development opportunities.&lt;/p&gt;&lt;p&gt;&lt;strong&gt;Change Management Integration:&lt;/strong&gt; Training programs incorporate change management principles addressing user concerns, building confidence, and promoting positive attitudes toward technology adoption. Success stories and peer testimonials support cultural transformation and user engagement.&lt;/p&gt;&lt;p&gt;&lt;strong&gt;Ongoing Support and Development:&lt;/strong&gt; Help desk support during initial adoption period, user forums and knowledge sharing platforms, regular system updates training, and advanced skills development opportunities supporting career progression and organizational capability enhancement.&lt;/p&gt;</w:t>
      </w:r>
    </w:p>
    <w:p>
      <w:pPr>
        <w:spacing w:after="80"/>
      </w:pPr>
      <w:r>
        <w:t xml:space="preserve"/>
      </w:r>
    </w:p>
    <w:p>
      <w:pPr>
        <w:spacing w:after="80"/>
      </w:pPr>
      <w:r>
        <w:t xml:space="preserve"/>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spacing w:before="120"/>
    </w:pPr>
    <w:r>
      <w:rPr>
        <w:rFonts w:ascii="Arial" w:cs="Arial" w:eastAsia="Arial" w:hAnsi="Arial"/>
        <w:color w:val="999999"/>
        <w:sz w:val="16"/>
        <w:szCs w:val="16"/>
      </w:rPr>
      <w:t xml:space="preserve">Document Document  |  Page </w:t>
    </w:r>
    <w:r>
      <w:rPr>
        <w:rFonts w:ascii="Arial" w:cs="Arial" w:eastAsia="Arial" w:hAnsi="Arial"/>
        <w:color w:val="999999"/>
        <w:sz w:val="16"/>
        <w:szCs w:val="16"/>
      </w:rPr>
      <w:fldChar w:fldCharType="begin"/>
      <w:instrText xml:space="preserve">PAGE</w:instrText>
      <w:fldChar w:fldCharType="separate"/>
      <w:fldChar w:fldCharType="end"/>
    </w:r>
    <w:r>
      <w:rPr>
        <w:rFonts w:ascii="Arial" w:cs="Arial" w:eastAsia="Arial" w:hAnsi="Arial"/>
        <w:color w:val="999999"/>
        <w:sz w:val="16"/>
        <w:szCs w:val="16"/>
      </w:rPr>
      <w:t xml:space="preserve"> of </w:t>
    </w:r>
    <w:r>
      <w:rPr>
        <w:rFonts w:ascii="Arial" w:cs="Arial" w:eastAsia="Arial" w:hAnsi="Arial"/>
        <w:color w:val="99999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6720"/>
      <w:gridCol w:w="3000"/>
    </w:tblGrid>
    <w:tr>
      <w:tc>
        <w:tcPr>
          <w:tcW w:type="dxa" w:w="6720"/>
          <w:tcBorders>
            <w:top w:val="none" w:color="FFFFFF" w:sz="0"/>
            <w:left w:val="none" w:color="FFFFFF" w:sz="0"/>
            <w:bottom w:val="single" w:color="2E75B6" w:sz="8"/>
            <w:right w:val="none" w:color="FFFFFF" w:sz="0"/>
          </w:tcBorders>
          <w:tcMar>
            <w:top w:type="dxa" w:w="60"/>
            <w:left w:type="dxa" w:w="0"/>
            <w:bottom w:type="dxa" w:w="60"/>
            <w:right w:type="dxa" w:w="120"/>
          </w:tcMar>
        </w:tcPr>
        <w:p>
          <w:r>
            <w:rPr>
              <w:rFonts w:ascii="Arial" w:cs="Arial" w:eastAsia="Arial" w:hAnsi="Arial"/>
              <w:b/>
              <w:bCs/>
              <w:color w:val="1F4E79"/>
              <w:sz w:val="24"/>
              <w:szCs w:val="24"/>
            </w:rPr>
            <w:t xml:space="preserve">DOCUMENT DOCUMENT</w:t>
          </w:r>
        </w:p>
        <w:p>
          <w:r>
            <w:rPr>
              <w:rFonts w:ascii="Arial" w:cs="Arial" w:eastAsia="Arial" w:hAnsi="Arial"/>
              <w:color w:val="666666"/>
              <w:sz w:val="18"/>
              <w:szCs w:val="18"/>
            </w:rPr>
            <w:t xml:space="preserve">Professional Document</w:t>
          </w:r>
        </w:p>
      </w:tc>
      <w:tc>
        <w:tcPr>
          <w:tcW w:type="dxa" w:w="3000"/>
          <w:tcBorders>
            <w:top w:val="none" w:color="FFFFFF" w:sz="0"/>
            <w:left w:val="none" w:color="FFFFFF" w:sz="0"/>
            <w:bottom w:val="single" w:color="2E75B6" w:sz="8"/>
            <w:right w:val="none" w:color="FFFFFF" w:sz="0"/>
          </w:tcBorders>
          <w:tcMar>
            <w:top w:type="dxa" w:w="60"/>
            <w:left w:type="dxa" w:w="120"/>
            <w:bottom w:type="dxa" w:w="60"/>
            <w:right w:type="dxa" w:w="0"/>
          </w:tcMar>
          <w:vAlign w:val="bottom"/>
        </w:tcPr>
        <w:p>
          <w:pPr>
            <w:jc w:val="right"/>
          </w:pPr>
          <w:r>
            <w:rPr>
              <w:rFonts w:ascii="Arial" w:cs="Arial" w:eastAsia="Arial" w:hAnsi="Arial"/>
              <w:i/>
              <w:iCs/>
              <w:color w:val="999999"/>
              <w:sz w:val="16"/>
              <w:szCs w:val="16"/>
            </w:rPr>
            <w:t xml:space="preserve">Confidential | Internal Use</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sz w:val="20"/>
        <w:szCs w:val="20"/>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2C2C"/>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4E79"/>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2026-04-30T00:49:12.624Z</dcterms:created>
  <dcterms:modified xsi:type="dcterms:W3CDTF">2026-04-30T00:49:12.624Z</dcterms:modified>
</cp:coreProperties>
</file>

<file path=docProps/custom.xml><?xml version="1.0" encoding="utf-8"?>
<Properties xmlns="http://schemas.openxmlformats.org/officeDocument/2006/custom-properties" xmlns:vt="http://schemas.openxmlformats.org/officeDocument/2006/docPropsVTypes"/>
</file>