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8rwpbh1jg32" w:id="0"/>
    <w:bookmarkEnd w:id="0"/>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TOBB ETU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Economy &amp; Technology University</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 Specification (SRS)</w:t>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w:t>
      </w:r>
      <w:r w:rsidDel="00000000" w:rsidR="00000000" w:rsidRPr="00000000">
        <w:rPr>
          <w:rFonts w:ascii="Times New Roman" w:cs="Times New Roman" w:eastAsia="Times New Roman" w:hAnsi="Times New Roman"/>
          <w:i w:val="1"/>
          <w:iCs w:val="1"/>
          <w:sz w:val="24"/>
          <w:szCs w:val="24"/>
          <w:rtl w:val="0"/>
        </w:rPr>
        <w:t xml:space="preserve"> IEEE 830-1998 / ISO/IEC/IEEE 29148:2018 </w:t>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assigned)</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manifetch</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28.10.2025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xzr7f2p8j8" w:id="1"/>
      <w:bookmarkEnd w:id="1"/>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28.10.25</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manifetch</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stakeholder feedback section</w:t>
            </w:r>
          </w:p>
        </w:tc>
      </w:tr>
    </w:tbl>
    <w:p w:rsidR="00000000" w:rsidDel="00000000" w:rsidP="00000000" w:rsidRDefault="00000000" w:rsidRPr="00000000" w14:paraId="0000003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sz w:val="24"/>
          <w:szCs w:val="24"/>
        </w:rPr>
      </w:pPr>
      <w:r w:rsidDel="00000000" w:rsidR="00000000" w:rsidRPr="00000000">
        <w:rPr>
          <w:rtl w:val="0"/>
        </w:rPr>
      </w:r>
    </w:p>
    <w:sdt>
      <w:sdtPr>
        <w:id w:val="-1580574739"/>
        <w:docPartObj>
          <w:docPartGallery w:val="Table of Contents"/>
          <w:docPartUnique w:val="1"/>
        </w:docPartObj>
      </w:sdtPr>
      <w:sdtContent>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sz w:val="24"/>
                <w:szCs w:val="24"/>
                <w:u w:val="single"/>
                <w:rtl w:val="0"/>
              </w:rPr>
              <w:t xml:space="preserve">1. Introduction</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1.1 Purpose</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1.2 Scope</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1.3 Definitions, Acronyms, Abbreviations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1.4 References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1.5 Overview</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 Overall Description</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2.1 Product Perspective</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2.2 Product Functions</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2.3 User Characteristics</w:t>
            </w:r>
          </w:hyperlink>
          <w:r w:rsidDel="00000000" w:rsidR="00000000" w:rsidRPr="00000000">
            <w:rPr>
              <w:rtl w:val="0"/>
            </w:rPr>
          </w:r>
        </w:p>
        <w:p w:rsidR="00000000" w:rsidDel="00000000" w:rsidP="00000000" w:rsidRDefault="00000000" w:rsidRPr="00000000" w14:paraId="00000044">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2.4 Constraints</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2.5 Assumptions and Dependencies</w:t>
            </w:r>
          </w:hyperlink>
          <w:r w:rsidDel="00000000" w:rsidR="00000000" w:rsidRPr="00000000">
            <w:rPr>
              <w:rtl w:val="0"/>
            </w:rPr>
          </w:r>
        </w:p>
        <w:p w:rsidR="00000000" w:rsidDel="00000000" w:rsidP="00000000" w:rsidRDefault="00000000" w:rsidRPr="00000000" w14:paraId="00000046">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 Specific Requirements</w:t>
            </w:r>
          </w:hyperlink>
          <w:r w:rsidDel="00000000" w:rsidR="00000000" w:rsidRPr="00000000">
            <w:rPr>
              <w:rtl w:val="0"/>
            </w:rPr>
          </w:r>
        </w:p>
        <w:p w:rsidR="00000000" w:rsidDel="00000000" w:rsidP="00000000" w:rsidRDefault="00000000" w:rsidRPr="00000000" w14:paraId="00000047">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3.1 Functional Requirements</w:t>
            </w:r>
          </w:hyperlink>
          <w:r w:rsidDel="00000000" w:rsidR="00000000" w:rsidRPr="00000000">
            <w:rPr>
              <w:rtl w:val="0"/>
            </w:rPr>
          </w:r>
        </w:p>
        <w:p w:rsidR="00000000" w:rsidDel="00000000" w:rsidP="00000000" w:rsidRDefault="00000000" w:rsidRPr="00000000" w14:paraId="00000048">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3.2 External Interface Requirements</w:t>
            </w:r>
          </w:hyperlink>
          <w:r w:rsidDel="00000000" w:rsidR="00000000" w:rsidRPr="00000000">
            <w:rPr>
              <w:rtl w:val="0"/>
            </w:rPr>
          </w:r>
        </w:p>
        <w:p w:rsidR="00000000" w:rsidDel="00000000" w:rsidP="00000000" w:rsidRDefault="00000000" w:rsidRPr="00000000" w14:paraId="00000049">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3.3 Performance Requirements</w:t>
            </w:r>
          </w:hyperlink>
          <w:r w:rsidDel="00000000" w:rsidR="00000000" w:rsidRPr="00000000">
            <w:rPr>
              <w:rtl w:val="0"/>
            </w:rPr>
          </w:r>
        </w:p>
        <w:p w:rsidR="00000000" w:rsidDel="00000000" w:rsidP="00000000" w:rsidRDefault="00000000" w:rsidRPr="00000000" w14:paraId="0000004A">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3.4 Design Constraints</w:t>
            </w:r>
          </w:hyperlink>
          <w:r w:rsidDel="00000000" w:rsidR="00000000" w:rsidRPr="00000000">
            <w:rPr>
              <w:rtl w:val="0"/>
            </w:rPr>
          </w:r>
        </w:p>
        <w:p w:rsidR="00000000" w:rsidDel="00000000" w:rsidP="00000000" w:rsidRDefault="00000000" w:rsidRPr="00000000" w14:paraId="0000004B">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3.5 Software System Attributes</w:t>
            </w:r>
          </w:hyperlink>
          <w:r w:rsidDel="00000000" w:rsidR="00000000" w:rsidRPr="00000000">
            <w:rPr>
              <w:rtl w:val="0"/>
            </w:rPr>
          </w:r>
        </w:p>
        <w:p w:rsidR="00000000" w:rsidDel="00000000" w:rsidP="00000000" w:rsidRDefault="00000000" w:rsidRPr="00000000" w14:paraId="0000004C">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3.6 Other Requirements</w:t>
            </w:r>
          </w:hyperlink>
          <w:r w:rsidDel="00000000" w:rsidR="00000000" w:rsidRPr="00000000">
            <w:rPr>
              <w:rtl w:val="0"/>
            </w:rPr>
          </w:r>
        </w:p>
        <w:p w:rsidR="00000000" w:rsidDel="00000000" w:rsidP="00000000" w:rsidRDefault="00000000" w:rsidRPr="00000000" w14:paraId="0000004D">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4. Appendices</w:t>
            </w:r>
          </w:hyperlink>
          <w:r w:rsidDel="00000000" w:rsidR="00000000" w:rsidRPr="00000000">
            <w:rPr>
              <w:rtl w:val="0"/>
            </w:rPr>
          </w:r>
        </w:p>
        <w:p w:rsidR="00000000" w:rsidDel="00000000" w:rsidP="00000000" w:rsidRDefault="00000000" w:rsidRPr="00000000" w14:paraId="0000004E">
          <w:pPr>
            <w:widowControl w:val="0"/>
            <w:spacing w:after="0" w:before="60" w:line="240" w:lineRule="auto"/>
            <w:rPr>
              <w:rFonts w:ascii="Times New Roman" w:cs="Times New Roman" w:eastAsia="Times New Roman" w:hAnsi="Times New Roman"/>
              <w:sz w:val="24"/>
              <w:szCs w:val="24"/>
              <w:u w:val="single"/>
            </w:rPr>
          </w:pPr>
          <w:hyperlink w:anchor="_heading=h.a6qvajnlk889">
            <w:r w:rsidDel="00000000" w:rsidR="00000000" w:rsidRPr="00000000">
              <w:rPr>
                <w:rFonts w:ascii="Times New Roman" w:cs="Times New Roman" w:eastAsia="Times New Roman" w:hAnsi="Times New Roman"/>
                <w:sz w:val="24"/>
                <w:szCs w:val="24"/>
                <w:u w:val="single"/>
                <w:rtl w:val="0"/>
              </w:rPr>
              <w:t xml:space="preserve">4.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5D">
      <w:pPr>
        <w:pStyle w:val="Heading2"/>
        <w:numPr>
          <w:ilvl w:val="1"/>
          <w:numId w:val="19"/>
        </w:numPr>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defines the functional and non-functional requirements for the development of a web-based NICU Clinical Dashboard integrating real-time signal monitoring and AI-assisted diagnosis.</w:t>
        <w:br w:type="textWrapping"/>
        <w:t xml:space="preserve">It serves as a formal reference for developers, academic supervisors, and the industrial partner (Ertunç Özcan Import &amp; Representation) to ensure a shared understanding of system expectations, design boundaries, and performance goals.</w:t>
      </w:r>
    </w:p>
    <w:p w:rsidR="00000000" w:rsidDel="00000000" w:rsidP="00000000" w:rsidRDefault="00000000" w:rsidRPr="00000000" w14:paraId="0000005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NICU Clinical Dashboard aims to provide a secure and scalable solution for monitoring neonatal vital signs (ECG, SpO₂, respiration rate) through IoMT-integrated devices.</w:t>
        <w:br w:type="textWrapping"/>
        <w:t xml:space="preserve">The system supports: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physiological signal visualization</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diagnostic alerts for respiratory and cardiac risks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report generation (PDF)</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(doctor, nurse, administrator)</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 backend architecture for multi-user access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version will support 5–10 concurrent users within a single NICU unit. In extended deployment scenarios, the system is designed to operate as a centralized cloud-based platform that can support multiple hospitals (tenants), each with independent NICU units and isolated data access, while maintaining scalability up to 50 concurrent users per hospital.</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tbl>
      <w:tblPr>
        <w:tblStyle w:val="Table3"/>
        <w:tblW w:w="7357.0" w:type="dxa"/>
        <w:jc w:val="left"/>
        <w:tblLayout w:type="fixed"/>
        <w:tblLook w:val="0400"/>
      </w:tblPr>
      <w:tblGrid>
        <w:gridCol w:w="2761"/>
        <w:gridCol w:w="4596"/>
        <w:tblGridChange w:id="0">
          <w:tblGrid>
            <w:gridCol w:w="2761"/>
            <w:gridCol w:w="4596"/>
          </w:tblGrid>
        </w:tblGridChange>
      </w:tblGrid>
      <w:tr>
        <w:trPr>
          <w:cantSplit w:val="0"/>
          <w:trHeight w:val="490" w:hRule="atLeast"/>
          <w:tblHeader w:val="1"/>
        </w:trPr>
        <w:tc>
          <w:tcPr>
            <w:vAlign w:val="center"/>
          </w:tcPr>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vAlign w:val="center"/>
          </w:tcPr>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rHeight w:val="490" w:hRule="atLeast"/>
          <w:tblHeader w:val="0"/>
        </w:trPr>
        <w:tc>
          <w:tcP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NICU</w:t>
            </w:r>
          </w:p>
        </w:tc>
        <w:tc>
          <w:tcP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Neonatal Intensive Care Unit</w:t>
            </w:r>
          </w:p>
        </w:tc>
      </w:tr>
      <w:tr>
        <w:trPr>
          <w:cantSplit w:val="0"/>
          <w:trHeight w:val="501" w:hRule="atLeast"/>
          <w:tblHeader w:val="0"/>
        </w:trPr>
        <w:tc>
          <w:tcP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IoMT</w:t>
            </w:r>
          </w:p>
        </w:tc>
        <w:tc>
          <w:tcP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of Medical Things</w:t>
            </w:r>
          </w:p>
        </w:tc>
      </w:tr>
      <w:tr>
        <w:trPr>
          <w:cantSplit w:val="0"/>
          <w:trHeight w:val="490" w:hRule="atLeast"/>
          <w:tblHeader w:val="0"/>
        </w:trPr>
        <w:tc>
          <w:tcP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ECG</w:t>
            </w:r>
          </w:p>
        </w:tc>
        <w:tc>
          <w:tcPr>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Electrocardiogram</w:t>
            </w:r>
          </w:p>
        </w:tc>
      </w:tr>
      <w:tr>
        <w:trPr>
          <w:cantSplit w:val="0"/>
          <w:trHeight w:val="490" w:hRule="atLeast"/>
          <w:tblHeader w:val="0"/>
        </w:trPr>
        <w:tc>
          <w:tcPr>
            <w:vAlign w:val="center"/>
          </w:tcPr>
          <w:p w:rsidR="00000000" w:rsidDel="00000000" w:rsidP="00000000" w:rsidRDefault="00000000" w:rsidRPr="00000000" w14:paraId="0000007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SpO</w:t>
            </w:r>
            <w:r w:rsidDel="00000000" w:rsidR="00000000" w:rsidRPr="00000000">
              <w:rPr>
                <w:rFonts w:ascii="Times New Roman" w:cs="Times New Roman" w:eastAsia="Times New Roman" w:hAnsi="Times New Roman"/>
                <w:i w:val="1"/>
                <w:iCs w:val="1"/>
                <w:sz w:val="24"/>
                <w:szCs w:val="24"/>
                <w:rtl w:val="0"/>
              </w:rPr>
              <w:t xml:space="preserve">₂</w:t>
            </w:r>
          </w:p>
        </w:tc>
        <w:tc>
          <w:tcP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Oxygen saturation level</w:t>
            </w:r>
          </w:p>
        </w:tc>
      </w:tr>
      <w:tr>
        <w:trPr>
          <w:cantSplit w:val="0"/>
          <w:trHeight w:val="490" w:hRule="atLeast"/>
          <w:tblHeader w:val="0"/>
        </w:trPr>
        <w:tc>
          <w:tcPr>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c>
          <w:tcPr>
            <w:vAlign w:val="cente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rHeight w:val="490" w:hRule="atLeast"/>
          <w:tblHeader w:val="0"/>
        </w:trPr>
        <w:tc>
          <w:tcPr>
            <w:vAlign w:val="cente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tc>
        <w:tc>
          <w:tcPr>
            <w:vAlign w:val="cente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r>
      <w:tr>
        <w:trPr>
          <w:cantSplit w:val="0"/>
          <w:trHeight w:val="490" w:hRule="atLeast"/>
          <w:tblHeader w:val="0"/>
        </w:trPr>
        <w:tc>
          <w:tcPr>
            <w:vAlign w:val="cente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HL7 / FHIR</w:t>
            </w:r>
          </w:p>
        </w:tc>
        <w:tc>
          <w:tcPr>
            <w:vAlign w:val="cente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data exchange standards</w:t>
            </w:r>
          </w:p>
        </w:tc>
      </w:tr>
      <w:tr>
        <w:trPr>
          <w:cantSplit w:val="0"/>
          <w:trHeight w:val="805" w:hRule="atLeast"/>
          <w:tblHeader w:val="0"/>
        </w:trPr>
        <w:tc>
          <w:tcPr>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HIPAA</w:t>
            </w:r>
          </w:p>
        </w:tc>
        <w:tc>
          <w:tcPr>
            <w:vAlign w:val="cente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Insurance Portability and Accountability Act</w:t>
            </w:r>
          </w:p>
        </w:tc>
      </w:tr>
      <w:tr>
        <w:trPr>
          <w:cantSplit w:val="0"/>
          <w:trHeight w:val="490" w:hRule="atLeast"/>
          <w:tblHeader w:val="0"/>
        </w:trPr>
        <w:tc>
          <w:tcPr>
            <w:vAlign w:val="cente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w:t>
            </w:r>
          </w:p>
        </w:tc>
        <w:tc>
          <w:tcPr>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Data Protection Regulation</w:t>
            </w:r>
          </w:p>
        </w:tc>
      </w:tr>
    </w:tbl>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Section 5 for full reference list.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structured as follows:</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2: General system description, context, and user environment.</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3: Specific functional and non-functional requirements.</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4: Appendices (traceability and requirement mappings).</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5: References to standards and supporting literature.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r w:rsidDel="00000000" w:rsidR="00000000" w:rsidRPr="00000000">
        <w:rPr>
          <w:rtl w:val="0"/>
        </w:rPr>
      </w:r>
    </w:p>
    <w:p w:rsidR="00000000" w:rsidDel="00000000" w:rsidP="00000000" w:rsidRDefault="00000000" w:rsidRPr="00000000" w14:paraId="0000008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NICU dashboard operates as a standalone clinical web platform interfacing with:</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IoMT devices or synthetic data simulators (e.g., BioSPPy, NeuroKit2)</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backend server managing storage and analytics (Flask/Node.js)</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AI module providing diagnostic predictions</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secure frontend dashboard (React-based) for end-users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It functions within hospital networks and supports </w:t>
      </w:r>
      <w:r w:rsidDel="00000000" w:rsidR="00000000" w:rsidRPr="00000000">
        <w:rPr>
          <w:rFonts w:ascii="Times New Roman" w:cs="Times New Roman" w:eastAsia="Times New Roman" w:hAnsi="Times New Roman"/>
          <w:sz w:val="24"/>
          <w:szCs w:val="24"/>
          <w:rtl w:val="0"/>
        </w:rPr>
        <w:t xml:space="preserve">on-premise</w:t>
      </w:r>
      <w:r w:rsidDel="00000000" w:rsidR="00000000" w:rsidRPr="00000000">
        <w:rPr>
          <w:rFonts w:ascii="Times New Roman" w:cs="Times New Roman" w:eastAsia="Times New Roman" w:hAnsi="Times New Roman"/>
          <w:sz w:val="24"/>
          <w:szCs w:val="24"/>
          <w:rtl w:val="0"/>
        </w:rPr>
        <w:t xml:space="preserve"> deployment.</w:t>
      </w:r>
    </w:p>
    <w:p w:rsidR="00000000" w:rsidDel="00000000" w:rsidP="00000000" w:rsidRDefault="00000000" w:rsidRPr="00000000" w14:paraId="0000009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on-premise operation within a single hospital network, the system is designed to support a centralized cloud deployment model, where multiple hospitals can access the platform as separate tenants. Each hospital operates within a defined hospital scope (HospitalID), ensuring logical data isolation across institutions.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real-time neonatal physiological signals (ECG, SpO₂, respiration).</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 AI-driven diagnostic results for distress detection.</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and export clinical reports in PDF format.</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alert mechanisms (visual/audio) when thresholds are exceeded.</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users with role-based access and secure login.</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 and retrieve time-series data for trend analysis.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Each user is associated with a single hospital organization. User permissions and data access are restricted to the hospital to which the user belongs.</w:t>
      </w:r>
      <w:r w:rsidDel="00000000" w:rsidR="00000000" w:rsidRPr="00000000">
        <w:rPr>
          <w:rtl w:val="0"/>
        </w:rPr>
      </w:r>
    </w:p>
    <w:tbl>
      <w:tblPr>
        <w:tblStyle w:val="Table4"/>
        <w:tblW w:w="8640.0" w:type="dxa"/>
        <w:jc w:val="left"/>
        <w:tblLayout w:type="fixed"/>
        <w:tblLook w:val="0400"/>
      </w:tblPr>
      <w:tblGrid>
        <w:gridCol w:w="1866"/>
        <w:gridCol w:w="2613"/>
        <w:gridCol w:w="1693"/>
        <w:gridCol w:w="2468"/>
        <w:tblGridChange w:id="0">
          <w:tblGrid>
            <w:gridCol w:w="1866"/>
            <w:gridCol w:w="2613"/>
            <w:gridCol w:w="1693"/>
            <w:gridCol w:w="2468"/>
          </w:tblGrid>
        </w:tblGridChange>
      </w:tblGrid>
      <w:tr>
        <w:trPr>
          <w:cantSplit w:val="0"/>
          <w:tblHeader w:val="1"/>
        </w:trPr>
        <w:tc>
          <w:tcPr>
            <w:vAlign w:val="center"/>
          </w:tcPr>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Type</w:t>
            </w:r>
          </w:p>
        </w:tc>
        <w:tc>
          <w:tcPr>
            <w:vAlign w:val="center"/>
          </w:tcPr>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vAlign w:val="center"/>
          </w:tcPr>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Expertise</w:t>
            </w:r>
          </w:p>
        </w:tc>
        <w:tc>
          <w:tcPr>
            <w:vAlign w:val="center"/>
          </w:tcPr>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Goals</w:t>
            </w:r>
          </w:p>
        </w:tc>
      </w:tr>
      <w:tr>
        <w:trPr>
          <w:cantSplit w:val="0"/>
          <w:tblHeader w:val="0"/>
        </w:trPr>
        <w:tc>
          <w:tcPr>
            <w:vAlign w:val="center"/>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Clinicians (Doctors)</w:t>
            </w:r>
          </w:p>
        </w:tc>
        <w:tc>
          <w:tcPr>
            <w:vAlign w:val="center"/>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AI results and monitor patients</w:t>
            </w:r>
          </w:p>
        </w:tc>
        <w:tc>
          <w:tcPr>
            <w:vAlign w:val="center"/>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vAlign w:val="center"/>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 and act on risk alerts</w:t>
            </w:r>
          </w:p>
        </w:tc>
      </w:tr>
      <w:tr>
        <w:trPr>
          <w:cantSplit w:val="0"/>
          <w:tblHeader w:val="0"/>
        </w:trPr>
        <w:tc>
          <w:tcPr>
            <w:vAlign w:val="center"/>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Nurses</w:t>
            </w:r>
          </w:p>
        </w:tc>
        <w:tc>
          <w:tcPr>
            <w:vAlign w:val="cente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signals and respond to alerts</w:t>
            </w:r>
          </w:p>
        </w:tc>
        <w:tc>
          <w:tcPr>
            <w:vAlign w:val="center"/>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w:t>
            </w:r>
          </w:p>
        </w:tc>
        <w:tc>
          <w:tcPr>
            <w:vAlign w:val="center"/>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patient follow-up</w:t>
            </w:r>
          </w:p>
        </w:tc>
      </w:tr>
      <w:tr>
        <w:trPr>
          <w:cantSplit w:val="0"/>
          <w:tblHeader w:val="0"/>
        </w:trPr>
        <w:tc>
          <w:tcPr>
            <w:vAlign w:val="center"/>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w:t>
            </w:r>
          </w:p>
        </w:tc>
        <w:tc>
          <w:tcPr>
            <w:vAlign w:val="center"/>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roles and records</w:t>
            </w:r>
          </w:p>
        </w:tc>
        <w:tc>
          <w:tcPr>
            <w:vAlign w:val="cente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vAlign w:val="center"/>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data access control</w:t>
            </w:r>
          </w:p>
        </w:tc>
      </w:tr>
      <w:tr>
        <w:trPr>
          <w:cantSplit w:val="0"/>
          <w:tblHeader w:val="0"/>
        </w:trPr>
        <w:tc>
          <w:tcPr>
            <w:vAlign w:val="center"/>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Biomedical Engineers</w:t>
            </w:r>
          </w:p>
        </w:tc>
        <w:tc>
          <w:tcPr>
            <w:vAlign w:val="center"/>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device connectivity</w:t>
            </w:r>
          </w:p>
        </w:tc>
        <w:tc>
          <w:tcPr>
            <w:vAlign w:val="center"/>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tc>
        <w:tc>
          <w:tcPr>
            <w:vAlign w:val="center"/>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stable IoMT integration</w:t>
            </w:r>
          </w:p>
        </w:tc>
      </w:tr>
      <w:tr>
        <w:trPr>
          <w:cantSplit w:val="0"/>
          <w:tblHeader w:val="0"/>
        </w:trPr>
        <w:tc>
          <w:tcPr>
            <w:vAlign w:val="cente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w:t>
            </w:r>
          </w:p>
        </w:tc>
        <w:tc>
          <w:tcPr>
            <w:vAlign w:val="center"/>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neonatal data</w:t>
            </w:r>
          </w:p>
        </w:tc>
        <w:tc>
          <w:tcPr>
            <w:vAlign w:val="cente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tc>
        <w:tc>
          <w:tcPr>
            <w:vAlign w:val="center"/>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health trends and model outputs</w:t>
            </w:r>
          </w:p>
        </w:tc>
      </w:tr>
    </w:tbl>
    <w:p w:rsidR="00000000" w:rsidDel="00000000" w:rsidP="00000000" w:rsidRDefault="00000000" w:rsidRPr="00000000" w14:paraId="000000B6">
      <w:pPr>
        <w:pStyle w:val="Heading3"/>
        <w:spacing w:after="80" w:before="280" w:lineRule="auto"/>
        <w:rPr>
          <w:rFonts w:ascii="Times New Roman" w:cs="Times New Roman" w:eastAsia="Times New Roman" w:hAnsi="Times New Roman"/>
          <w:color w:val="000000"/>
          <w:sz w:val="26"/>
          <w:szCs w:val="26"/>
        </w:rPr>
      </w:pPr>
      <w:bookmarkStart w:colFirst="0" w:colLast="0" w:name="_heading=h.a3k0z38y9l1" w:id="2"/>
      <w:bookmarkEnd w:id="2"/>
      <w:r w:rsidDel="00000000" w:rsidR="00000000" w:rsidRPr="00000000">
        <w:rPr>
          <w:rFonts w:ascii="Times New Roman" w:cs="Times New Roman" w:eastAsia="Times New Roman" w:hAnsi="Times New Roman"/>
          <w:color w:val="000000"/>
          <w:sz w:val="26"/>
          <w:szCs w:val="26"/>
          <w:rtl w:val="0"/>
        </w:rPr>
        <w:t xml:space="preserve">2.4 Constraints</w:t>
      </w:r>
    </w:p>
    <w:p w:rsidR="00000000" w:rsidDel="00000000" w:rsidP="00000000" w:rsidRDefault="00000000" w:rsidRPr="00000000" w14:paraId="000000B7">
      <w:pPr>
        <w:pStyle w:val="Heading2"/>
        <w:spacing w:after="240" w:before="24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This section outlines the key hardware, software, legal, and policy constraints that govern the development and deployment of the NICU Clinical Dashboard. All identified limitations are documented in accordance with the TOBB ETU Bitirme Projeleri Guideline (2025) and detailed within the submitted constraint assessment forms.</w:t>
      </w:r>
    </w:p>
    <w:p w:rsidR="00000000" w:rsidDel="00000000" w:rsidP="00000000" w:rsidRDefault="00000000" w:rsidRPr="00000000" w14:paraId="000000B8">
      <w:pPr>
        <w:pStyle w:val="Heading4"/>
        <w:spacing w:after="40" w:before="240" w:lineRule="auto"/>
        <w:rPr>
          <w:rFonts w:ascii="Times New Roman" w:cs="Times New Roman" w:eastAsia="Times New Roman" w:hAnsi="Times New Roman"/>
          <w:i w:val="0"/>
          <w:iCs w:val="0"/>
          <w:color w:val="000000"/>
          <w:sz w:val="24"/>
          <w:szCs w:val="24"/>
        </w:rPr>
      </w:pPr>
      <w:bookmarkStart w:colFirst="0" w:colLast="0" w:name="_heading=h.hk1ulvxve4d4" w:id="3"/>
      <w:bookmarkEnd w:id="3"/>
      <w:r w:rsidDel="00000000" w:rsidR="00000000" w:rsidRPr="00000000">
        <w:rPr>
          <w:rFonts w:ascii="Times New Roman" w:cs="Times New Roman" w:eastAsia="Times New Roman" w:hAnsi="Times New Roman"/>
          <w:i w:val="0"/>
          <w:iCs w:val="0"/>
          <w:color w:val="000000"/>
          <w:sz w:val="24"/>
          <w:szCs w:val="24"/>
          <w:rtl w:val="0"/>
        </w:rPr>
        <w:t xml:space="preserve">Hardware Constraints</w:t>
      </w:r>
    </w:p>
    <w:p w:rsidR="00000000" w:rsidDel="00000000" w:rsidP="00000000" w:rsidRDefault="00000000" w:rsidRPr="00000000" w14:paraId="000000B9">
      <w:pPr>
        <w:numPr>
          <w:ilvl w:val="0"/>
          <w:numId w:val="1"/>
        </w:numPr>
        <w:spacing w:after="160" w:line="278.00000000000006" w:lineRule="auto"/>
        <w:ind w:left="720" w:hanging="360"/>
        <w:rPr>
          <w:rFonts w:ascii="Times New Roman" w:cs="Times New Roman" w:eastAsia="Times New Roman" w:hAnsi="Times New Roman"/>
          <w:b w:val="0"/>
          <w:bCs w:val="0"/>
          <w:color w:val="000000"/>
          <w:sz w:val="24"/>
          <w:szCs w:val="24"/>
        </w:rPr>
      </w:pPr>
      <w:sdt>
        <w:sdtPr>
          <w:id w:val="710910308"/>
          <w:tag w:val="goog_rdk_0"/>
        </w:sdtPr>
        <w:sdtContent>
          <w:r w:rsidDel="00000000" w:rsidR="00000000" w:rsidRPr="00000000">
            <w:rPr>
              <w:rFonts w:ascii="Gungsuh" w:cs="Gungsuh" w:eastAsia="Gungsuh" w:hAnsi="Gungsuh"/>
              <w:sz w:val="24"/>
              <w:szCs w:val="24"/>
              <w:rtl w:val="0"/>
            </w:rPr>
            <w:t xml:space="preserve">All NICU-connected IoMT devices shall operate under hospital electrical safety standards (IEC 60601-1). Leakage current ≤ 100 µA.</w:t>
          </w:r>
        </w:sdtContent>
      </w:sdt>
    </w:p>
    <w:p w:rsidR="00000000" w:rsidDel="00000000" w:rsidP="00000000" w:rsidRDefault="00000000" w:rsidRPr="00000000" w14:paraId="000000BA">
      <w:pPr>
        <w:numPr>
          <w:ilvl w:val="0"/>
          <w:numId w:val="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sensing modules must operate reliably between 18–26°C and humidity 40–60%, as per NICU standards.</w:t>
      </w:r>
    </w:p>
    <w:p w:rsidR="00000000" w:rsidDel="00000000" w:rsidP="00000000" w:rsidRDefault="00000000" w:rsidRPr="00000000" w14:paraId="000000BB">
      <w:pPr>
        <w:numPr>
          <w:ilvl w:val="0"/>
          <w:numId w:val="1"/>
        </w:numPr>
        <w:spacing w:after="160" w:line="278.00000000000006" w:lineRule="auto"/>
        <w:ind w:left="720" w:hanging="360"/>
        <w:rPr>
          <w:rFonts w:ascii="Times New Roman" w:cs="Times New Roman" w:eastAsia="Times New Roman" w:hAnsi="Times New Roman"/>
          <w:sz w:val="24"/>
          <w:szCs w:val="24"/>
        </w:rPr>
      </w:pPr>
      <w:sdt>
        <w:sdtPr>
          <w:id w:val="1605345549"/>
          <w:tag w:val="goog_rdk_1"/>
        </w:sdtPr>
        <w:sdtContent>
          <w:r w:rsidDel="00000000" w:rsidR="00000000" w:rsidRPr="00000000">
            <w:rPr>
              <w:rFonts w:ascii="Gungsuh" w:cs="Gungsuh" w:eastAsia="Gungsuh" w:hAnsi="Gungsuh"/>
              <w:sz w:val="24"/>
              <w:szCs w:val="24"/>
              <w:rtl w:val="0"/>
            </w:rPr>
            <w:t xml:space="preserve">IoMT sensor modules attached to incubators shall weigh ≤ 200 g each to avoid structural imbalance.</w:t>
          </w:r>
        </w:sdtContent>
      </w:sdt>
    </w:p>
    <w:p w:rsidR="00000000" w:rsidDel="00000000" w:rsidP="00000000" w:rsidRDefault="00000000" w:rsidRPr="00000000" w14:paraId="000000BC">
      <w:pPr>
        <w:pStyle w:val="Heading4"/>
        <w:spacing w:after="40" w:before="240" w:lineRule="auto"/>
        <w:rPr>
          <w:rFonts w:ascii="Times New Roman" w:cs="Times New Roman" w:eastAsia="Times New Roman" w:hAnsi="Times New Roman"/>
          <w:i w:val="0"/>
          <w:iCs w:val="0"/>
          <w:color w:val="000000"/>
          <w:sz w:val="24"/>
          <w:szCs w:val="24"/>
        </w:rPr>
      </w:pPr>
      <w:bookmarkStart w:colFirst="0" w:colLast="0" w:name="_heading=h.vre1rbtt74wu" w:id="4"/>
      <w:bookmarkEnd w:id="4"/>
      <w:r w:rsidDel="00000000" w:rsidR="00000000" w:rsidRPr="00000000">
        <w:rPr>
          <w:rFonts w:ascii="Times New Roman" w:cs="Times New Roman" w:eastAsia="Times New Roman" w:hAnsi="Times New Roman"/>
          <w:i w:val="0"/>
          <w:iCs w:val="0"/>
          <w:color w:val="000000"/>
          <w:sz w:val="24"/>
          <w:szCs w:val="24"/>
          <w:rtl w:val="0"/>
        </w:rPr>
        <w:t xml:space="preserve">Software Constraints</w:t>
      </w:r>
    </w:p>
    <w:p w:rsidR="00000000" w:rsidDel="00000000" w:rsidP="00000000" w:rsidRDefault="00000000" w:rsidRPr="00000000" w14:paraId="000000BD">
      <w:pPr>
        <w:numPr>
          <w:ilvl w:val="0"/>
          <w:numId w:val="2"/>
        </w:numPr>
        <w:spacing w:after="0" w:line="276"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Real-time data visualization latency shall not exceed 1 second between acquisition and display.</w:t>
      </w:r>
    </w:p>
    <w:p w:rsidR="00000000" w:rsidDel="00000000" w:rsidP="00000000" w:rsidRDefault="00000000" w:rsidRPr="00000000" w14:paraId="000000BE">
      <w:pPr>
        <w:numPr>
          <w:ilvl w:val="0"/>
          <w:numId w:val="2"/>
        </w:numPr>
        <w:spacing w:after="0" w:line="276"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All patient data must be encrypted at rest and in transit (AES-256 + HTTPS/TLS 1.3).</w:t>
      </w:r>
    </w:p>
    <w:p w:rsidR="00000000" w:rsidDel="00000000" w:rsidP="00000000" w:rsidRDefault="00000000" w:rsidRPr="00000000" w14:paraId="000000BF">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uptime shall be at least 99% during testing phase.</w:t>
      </w:r>
    </w:p>
    <w:p w:rsidR="00000000" w:rsidDel="00000000" w:rsidP="00000000" w:rsidRDefault="00000000" w:rsidRPr="00000000" w14:paraId="000000C0">
      <w:pPr>
        <w:numPr>
          <w:ilvl w:val="0"/>
          <w:numId w:val="2"/>
        </w:numPr>
        <w:spacing w:after="0" w:line="276" w:lineRule="auto"/>
        <w:ind w:left="720" w:hanging="360"/>
        <w:rPr>
          <w:rFonts w:ascii="Times New Roman" w:cs="Times New Roman" w:eastAsia="Times New Roman" w:hAnsi="Times New Roman"/>
          <w:sz w:val="24"/>
          <w:szCs w:val="24"/>
        </w:rPr>
      </w:pPr>
      <w:sdt>
        <w:sdtPr>
          <w:id w:val="-236534230"/>
          <w:tag w:val="goog_rdk_2"/>
        </w:sdtPr>
        <w:sdtContent>
          <w:r w:rsidDel="00000000" w:rsidR="00000000" w:rsidRPr="00000000">
            <w:rPr>
              <w:rFonts w:ascii="Gungsuh" w:cs="Gungsuh" w:eastAsia="Gungsuh" w:hAnsi="Gungsuh"/>
              <w:sz w:val="24"/>
              <w:szCs w:val="24"/>
              <w:rtl w:val="0"/>
            </w:rPr>
            <w:t xml:space="preserve">AI inference for neonatal distress prediction must execute within ≤ 3 seconds per sample.</w:t>
          </w:r>
        </w:sdtContent>
      </w:sdt>
    </w:p>
    <w:p w:rsidR="00000000" w:rsidDel="00000000" w:rsidP="00000000" w:rsidRDefault="00000000" w:rsidRPr="00000000" w14:paraId="000000C1">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minimum 10 concurrent device streams via MQTT protocol.</w:t>
      </w:r>
    </w:p>
    <w:p w:rsidR="00000000" w:rsidDel="00000000" w:rsidP="00000000" w:rsidRDefault="00000000" w:rsidRPr="00000000" w14:paraId="000000C2">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Incoming data packets must be verified using CRC or checksum validation before storage.</w:t>
      </w:r>
    </w:p>
    <w:p w:rsidR="00000000" w:rsidDel="00000000" w:rsidP="00000000" w:rsidRDefault="00000000" w:rsidRPr="00000000" w14:paraId="000000C3">
      <w:pPr>
        <w:numPr>
          <w:ilvl w:val="0"/>
          <w:numId w:val="2"/>
        </w:numPr>
        <w:spacing w:after="0" w:line="276" w:lineRule="auto"/>
        <w:ind w:left="720" w:hanging="360"/>
        <w:rPr>
          <w:rFonts w:ascii="Times New Roman" w:cs="Times New Roman" w:eastAsia="Times New Roman" w:hAnsi="Times New Roman"/>
          <w:sz w:val="24"/>
          <w:szCs w:val="24"/>
        </w:rPr>
      </w:pPr>
      <w:sdt>
        <w:sdtPr>
          <w:id w:val="1710142495"/>
          <w:tag w:val="goog_rdk_3"/>
        </w:sdtPr>
        <w:sdtContent>
          <w:r w:rsidDel="00000000" w:rsidR="00000000" w:rsidRPr="00000000">
            <w:rPr>
              <w:rFonts w:ascii="Gungsuh" w:cs="Gungsuh" w:eastAsia="Gungsuh" w:hAnsi="Gungsuh"/>
              <w:sz w:val="24"/>
              <w:szCs w:val="24"/>
              <w:rtl w:val="0"/>
            </w:rPr>
            <w:t xml:space="preserve">All UI alert notifications must appear within ≤ 2 seconds and be color-coded for severity.</w:t>
          </w:r>
        </w:sdtContent>
      </w:sdt>
    </w:p>
    <w:p w:rsidR="00000000" w:rsidDel="00000000" w:rsidP="00000000" w:rsidRDefault="00000000" w:rsidRPr="00000000" w14:paraId="000000C4">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 memory footprint shall not exceed 2 GB RAM during runtime.</w:t>
      </w:r>
    </w:p>
    <w:p w:rsidR="00000000" w:rsidDel="00000000" w:rsidP="00000000" w:rsidRDefault="00000000" w:rsidRPr="00000000" w14:paraId="000000C5">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 and documentation must adhere to IEEE 1058 and ISO/IEC 12207 lifecycle standards.</w:t>
      </w:r>
    </w:p>
    <w:p w:rsidR="00000000" w:rsidDel="00000000" w:rsidP="00000000" w:rsidRDefault="00000000" w:rsidRPr="00000000" w14:paraId="000000C6">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real patient data requires anonymization and ethics board approval.</w:t>
      </w:r>
      <w:r w:rsidDel="00000000" w:rsidR="00000000" w:rsidRPr="00000000">
        <w:rPr>
          <w:rFonts w:ascii="Times New Roman" w:cs="Times New Roman" w:eastAsia="Times New Roman" w:hAnsi="Times New Roman"/>
          <w:b w:val="0"/>
          <w:bCs w:val="0"/>
          <w:color w:val="000000"/>
          <w:sz w:val="24"/>
          <w:szCs w:val="24"/>
          <w:rtl w:val="0"/>
        </w:rPr>
        <w:br w:type="textWrapping"/>
      </w:r>
    </w:p>
    <w:p w:rsidR="00000000" w:rsidDel="00000000" w:rsidP="00000000" w:rsidRDefault="00000000" w:rsidRPr="00000000" w14:paraId="000000C7">
      <w:pPr>
        <w:pStyle w:val="Heading4"/>
        <w:spacing w:after="40" w:before="240" w:lineRule="auto"/>
        <w:rPr>
          <w:rFonts w:ascii="Times New Roman" w:cs="Times New Roman" w:eastAsia="Times New Roman" w:hAnsi="Times New Roman"/>
          <w:i w:val="0"/>
          <w:iCs w:val="0"/>
          <w:color w:val="000000"/>
          <w:sz w:val="24"/>
          <w:szCs w:val="24"/>
        </w:rPr>
      </w:pPr>
      <w:bookmarkStart w:colFirst="0" w:colLast="0" w:name="_heading=h.6b6uqds5pajk" w:id="5"/>
      <w:bookmarkEnd w:id="5"/>
      <w:r w:rsidDel="00000000" w:rsidR="00000000" w:rsidRPr="00000000">
        <w:rPr>
          <w:rFonts w:ascii="Times New Roman" w:cs="Times New Roman" w:eastAsia="Times New Roman" w:hAnsi="Times New Roman"/>
          <w:i w:val="0"/>
          <w:iCs w:val="0"/>
          <w:color w:val="000000"/>
          <w:sz w:val="24"/>
          <w:szCs w:val="24"/>
          <w:rtl w:val="0"/>
        </w:rPr>
        <w:t xml:space="preserve">Temporal and Budgetary Constraints</w:t>
      </w:r>
    </w:p>
    <w:p w:rsidR="00000000" w:rsidDel="00000000" w:rsidP="00000000" w:rsidRDefault="00000000" w:rsidRPr="00000000" w14:paraId="000000C8">
      <w:pPr>
        <w:pStyle w:val="Heading2"/>
        <w:numPr>
          <w:ilvl w:val="0"/>
          <w:numId w:val="20"/>
        </w:numPr>
        <w:spacing w:after="0" w:afterAutospacing="0" w:befor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total project duration is limited to 12 weeks.</w:t>
      </w:r>
    </w:p>
    <w:p w:rsidR="00000000" w:rsidDel="00000000" w:rsidP="00000000" w:rsidRDefault="00000000" w:rsidRPr="00000000" w14:paraId="000000C9">
      <w:pPr>
        <w:pStyle w:val="Heading2"/>
        <w:numPr>
          <w:ilvl w:val="0"/>
          <w:numId w:val="20"/>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Only open-source tools and libraries will be used due to a zero-cost policy.</w:t>
      </w:r>
    </w:p>
    <w:p w:rsidR="00000000" w:rsidDel="00000000" w:rsidP="00000000" w:rsidRDefault="00000000" w:rsidRPr="00000000" w14:paraId="000000CA">
      <w:pPr>
        <w:pStyle w:val="Heading2"/>
        <w:numPr>
          <w:ilvl w:val="0"/>
          <w:numId w:val="20"/>
        </w:numPr>
        <w:spacing w:after="240" w:before="0" w:beforeAutospacing="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Integration with physical medical devices will be postponed to the next project phase.</w:t>
        <w:br w:type="textWrapping"/>
      </w:r>
    </w:p>
    <w:p w:rsidR="00000000" w:rsidDel="00000000" w:rsidP="00000000" w:rsidRDefault="00000000" w:rsidRPr="00000000" w14:paraId="000000CB">
      <w:pPr>
        <w:pStyle w:val="Heading4"/>
        <w:spacing w:after="40" w:before="240" w:lineRule="auto"/>
        <w:rPr>
          <w:rFonts w:ascii="Times New Roman" w:cs="Times New Roman" w:eastAsia="Times New Roman" w:hAnsi="Times New Roman"/>
          <w:i w:val="0"/>
          <w:iCs w:val="0"/>
          <w:color w:val="000000"/>
          <w:sz w:val="24"/>
          <w:szCs w:val="24"/>
        </w:rPr>
      </w:pPr>
      <w:bookmarkStart w:colFirst="0" w:colLast="0" w:name="_heading=h.dxzhnj3q9uhs" w:id="6"/>
      <w:bookmarkEnd w:id="6"/>
      <w:r w:rsidDel="00000000" w:rsidR="00000000" w:rsidRPr="00000000">
        <w:rPr>
          <w:rFonts w:ascii="Times New Roman" w:cs="Times New Roman" w:eastAsia="Times New Roman" w:hAnsi="Times New Roman"/>
          <w:i w:val="0"/>
          <w:iCs w:val="0"/>
          <w:color w:val="000000"/>
          <w:sz w:val="24"/>
          <w:szCs w:val="24"/>
          <w:rtl w:val="0"/>
        </w:rPr>
        <w:t xml:space="preserve">Document References</w:t>
      </w:r>
    </w:p>
    <w:p w:rsidR="00000000" w:rsidDel="00000000" w:rsidP="00000000" w:rsidRDefault="00000000" w:rsidRPr="00000000" w14:paraId="000000CC">
      <w:pPr>
        <w:pStyle w:val="Heading2"/>
        <w:spacing w:after="240" w:before="24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All identified constraints and compliance validations are recorded in the following forms:</w:t>
      </w:r>
    </w:p>
    <w:p w:rsidR="00000000" w:rsidDel="00000000" w:rsidP="00000000" w:rsidRDefault="00000000" w:rsidRPr="00000000" w14:paraId="000000CD">
      <w:pPr>
        <w:pStyle w:val="Heading2"/>
        <w:numPr>
          <w:ilvl w:val="0"/>
          <w:numId w:val="3"/>
        </w:numPr>
        <w:spacing w:after="0" w:afterAutospacing="0" w:before="24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Universal SW Constraint Tracking Form</w:t>
      </w:r>
      <w:r w:rsidDel="00000000" w:rsidR="00000000" w:rsidRPr="00000000">
        <w:rPr>
          <w:rFonts w:ascii="Times New Roman" w:cs="Times New Roman" w:eastAsia="Times New Roman" w:hAnsi="Times New Roman"/>
          <w:b w:val="0"/>
          <w:bCs w:val="0"/>
          <w:color w:val="000000"/>
          <w:sz w:val="24"/>
          <w:szCs w:val="24"/>
          <w:rtl w:val="0"/>
        </w:rPr>
        <w:t xml:space="preserve">– </w:t>
      </w:r>
      <w:hyperlink r:id="rId8">
        <w:r w:rsidDel="00000000" w:rsidR="00000000" w:rsidRPr="00000000">
          <w:rPr>
            <w:rFonts w:ascii="Times New Roman" w:cs="Times New Roman" w:eastAsia="Times New Roman" w:hAnsi="Times New Roman"/>
            <w:b w:val="0"/>
            <w:bCs w:val="0"/>
            <w:color w:val="1155cc"/>
            <w:sz w:val="24"/>
            <w:szCs w:val="24"/>
            <w:u w:val="single"/>
            <w:rtl w:val="0"/>
          </w:rPr>
          <w:t xml:space="preserve">SW Constraints</w:t>
        </w:r>
      </w:hyperlink>
      <w:r w:rsidDel="00000000" w:rsidR="00000000" w:rsidRPr="00000000">
        <w:rPr>
          <w:rtl w:val="0"/>
        </w:rPr>
      </w:r>
    </w:p>
    <w:p w:rsidR="00000000" w:rsidDel="00000000" w:rsidP="00000000" w:rsidRDefault="00000000" w:rsidRPr="00000000" w14:paraId="000000CE">
      <w:pPr>
        <w:pStyle w:val="Heading2"/>
        <w:numPr>
          <w:ilvl w:val="0"/>
          <w:numId w:val="3"/>
        </w:numPr>
        <w:spacing w:after="240" w:before="0" w:beforeAutospacing="0"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Cross-Discipline Constraint Tracking Form</w:t>
      </w:r>
      <w:r w:rsidDel="00000000" w:rsidR="00000000" w:rsidRPr="00000000">
        <w:rPr>
          <w:rFonts w:ascii="Times New Roman" w:cs="Times New Roman" w:eastAsia="Times New Roman" w:hAnsi="Times New Roman"/>
          <w:color w:val="000000"/>
          <w:sz w:val="24"/>
          <w:szCs w:val="24"/>
          <w:rtl w:val="0"/>
        </w:rPr>
        <w:t xml:space="preserve">– </w:t>
      </w:r>
      <w:hyperlink r:id="rId9">
        <w:r w:rsidDel="00000000" w:rsidR="00000000" w:rsidRPr="00000000">
          <w:rPr>
            <w:rFonts w:ascii="Times New Roman" w:cs="Times New Roman" w:eastAsia="Times New Roman" w:hAnsi="Times New Roman"/>
            <w:b w:val="0"/>
            <w:bCs w:val="0"/>
            <w:color w:val="1155cc"/>
            <w:sz w:val="24"/>
            <w:szCs w:val="24"/>
            <w:u w:val="single"/>
            <w:rtl w:val="0"/>
          </w:rPr>
          <w:t xml:space="preserve">Cross Discipline Constraints</w:t>
        </w:r>
      </w:hyperlink>
      <w:r w:rsidDel="00000000" w:rsidR="00000000" w:rsidRPr="00000000">
        <w:rPr>
          <w:rtl w:val="0"/>
        </w:rPr>
      </w:r>
    </w:p>
    <w:p w:rsidR="00000000" w:rsidDel="00000000" w:rsidP="00000000" w:rsidRDefault="00000000" w:rsidRPr="00000000" w14:paraId="000000CF">
      <w:pPr>
        <w:pStyle w:val="Heading2"/>
        <w:spacing w:after="240" w:before="240" w:lineRule="auto"/>
        <w:rPr>
          <w:rFonts w:ascii="Times New Roman" w:cs="Times New Roman" w:eastAsia="Times New Roman" w:hAnsi="Times New Roman"/>
          <w:b w:val="0"/>
          <w:bCs w:val="0"/>
          <w:color w:val="000000"/>
          <w:sz w:val="24"/>
          <w:szCs w:val="24"/>
        </w:rPr>
      </w:pPr>
      <w:bookmarkStart w:colFirst="0" w:colLast="0" w:name="_heading=h.nfjocx31yvl7" w:id="7"/>
      <w:bookmarkEnd w:id="7"/>
      <w:r w:rsidDel="00000000" w:rsidR="00000000" w:rsidRPr="00000000">
        <w:rPr>
          <w:rFonts w:ascii="Times New Roman" w:cs="Times New Roman" w:eastAsia="Times New Roman" w:hAnsi="Times New Roman"/>
          <w:b w:val="0"/>
          <w:bCs w:val="0"/>
          <w:color w:val="000000"/>
          <w:sz w:val="24"/>
          <w:szCs w:val="24"/>
          <w:rtl w:val="0"/>
        </w:rPr>
        <w:t xml:space="preserve">Both forms are committed to the project repository and uploaded to the shared Google Drive as part of the project documentation package.</w:t>
      </w:r>
    </w:p>
    <w:p w:rsidR="00000000" w:rsidDel="00000000" w:rsidP="00000000" w:rsidRDefault="00000000" w:rsidRPr="00000000" w14:paraId="000000D0">
      <w:pPr>
        <w:pStyle w:val="Heading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D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will be obtained from open-access PhysioNet databases (PICS-DB, MIMIC-IV) or generated synthetically.</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models will initially operate on pre-recorded or simulated data.</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Integration with real IoMT devices will occur in future iterations.</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connectivity is assumed for real-time monitoring in demo mode.</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8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collaboration (Ertunç Özcan) will provide domain feedback and device standards.</w:t>
      </w:r>
    </w:p>
    <w:p w:rsidR="00000000" w:rsidDel="00000000" w:rsidP="00000000" w:rsidRDefault="00000000" w:rsidRPr="00000000" w14:paraId="000000D7">
      <w:pPr>
        <w:numPr>
          <w:ilvl w:val="0"/>
          <w:numId w:val="8"/>
        </w:numPr>
        <w:ind w:left="8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assumes that in multi-hospital deployments, each hospital is logically isolated using a tenant-based architecture, and cross-hospital data access is disabled by default unless explicitly configured.</w:t>
      </w:r>
    </w:p>
    <w:p w:rsidR="00000000" w:rsidDel="00000000" w:rsidP="00000000" w:rsidRDefault="00000000" w:rsidRPr="00000000" w14:paraId="000000D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D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Functional Requirements</w:t>
      </w:r>
    </w:p>
    <w:tbl>
      <w:tblPr>
        <w:tblStyle w:val="Table5"/>
        <w:tblW w:w="8640.0" w:type="dxa"/>
        <w:jc w:val="left"/>
        <w:tblLayout w:type="fixed"/>
        <w:tblLook w:val="0400"/>
      </w:tblPr>
      <w:tblGrid>
        <w:gridCol w:w="993"/>
        <w:gridCol w:w="7647"/>
        <w:tblGridChange w:id="0">
          <w:tblGrid>
            <w:gridCol w:w="993"/>
            <w:gridCol w:w="7647"/>
          </w:tblGrid>
        </w:tblGridChange>
      </w:tblGrid>
      <w:tr>
        <w:trPr>
          <w:cantSplit w:val="0"/>
          <w:tblHeader w:val="1"/>
        </w:trPr>
        <w:tc>
          <w:tcPr>
            <w:vAlign w:val="center"/>
          </w:tcPr>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vAlign w:val="center"/>
          </w:tcPr>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Description</w:t>
            </w:r>
          </w:p>
        </w:tc>
      </w:tr>
      <w:tr>
        <w:trPr>
          <w:cantSplit w:val="0"/>
          <w:tblHeader w:val="0"/>
        </w:trPr>
        <w:tc>
          <w:tcPr>
            <w:vAlign w:val="cente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tc>
        <w:tc>
          <w:tcPr>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live physiological signals (ECG, SpO₂, respiration) in graphical form.</w:t>
            </w:r>
          </w:p>
        </w:tc>
      </w:tr>
      <w:tr>
        <w:trPr>
          <w:cantSplit w:val="0"/>
          <w:tblHeader w:val="0"/>
        </w:trPr>
        <w:tc>
          <w:tcPr>
            <w:vAlign w:val="cente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w:t>
            </w:r>
          </w:p>
        </w:tc>
        <w:tc>
          <w:tcPr>
            <w:vAlign w:val="cente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visualize AI-based diagnostic results on patient panels.</w:t>
            </w:r>
          </w:p>
        </w:tc>
      </w:tr>
      <w:tr>
        <w:trPr>
          <w:cantSplit w:val="0"/>
          <w:tblHeader w:val="0"/>
        </w:trPr>
        <w:tc>
          <w:tcPr>
            <w:vAlign w:val="center"/>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F-3</w:t>
            </w:r>
          </w:p>
        </w:tc>
        <w:tc>
          <w:tcPr>
            <w:vAlign w:val="cente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implement role-based and hospital-scoped access control for users (doctor, nurse, administrator).</w:t>
            </w:r>
          </w:p>
        </w:tc>
      </w:tr>
      <w:tr>
        <w:trPr>
          <w:cantSplit w:val="0"/>
          <w:tblHeader w:val="0"/>
        </w:trPr>
        <w:tc>
          <w:tcPr>
            <w:vAlign w:val="cente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F-4</w:t>
            </w:r>
          </w:p>
        </w:tc>
        <w:tc>
          <w:tcPr>
            <w:vAlign w:val="center"/>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creation and update of patient records.</w:t>
            </w:r>
          </w:p>
        </w:tc>
      </w:tr>
      <w:tr>
        <w:trPr>
          <w:cantSplit w:val="0"/>
          <w:tblHeader w:val="0"/>
        </w:trPr>
        <w:tc>
          <w:tcPr>
            <w:vAlign w:val="center"/>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F-5</w:t>
            </w:r>
          </w:p>
        </w:tc>
        <w:tc>
          <w:tcPr>
            <w:vAlign w:val="center"/>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alerts (visual/audio) when signal thresholds are exceeded.</w:t>
            </w:r>
          </w:p>
        </w:tc>
      </w:tr>
      <w:tr>
        <w:trPr>
          <w:cantSplit w:val="0"/>
          <w:tblHeader w:val="0"/>
        </w:trPr>
        <w:tc>
          <w:tcPr>
            <w:vAlign w:val="center"/>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F-6</w:t>
            </w:r>
          </w:p>
        </w:tc>
        <w:tc>
          <w:tcPr>
            <w:vAlign w:val="cente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exporting patient reports as PDF files.</w:t>
            </w:r>
          </w:p>
        </w:tc>
      </w:tr>
      <w:tr>
        <w:trPr>
          <w:cantSplit w:val="0"/>
          <w:tblHeader w:val="0"/>
        </w:trPr>
        <w:tc>
          <w:tcPr>
            <w:vAlign w:val="cente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F-7</w:t>
            </w:r>
          </w:p>
        </w:tc>
        <w:tc>
          <w:tcPr>
            <w:vAlign w:val="cente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time-series trend visualization for past data.</w:t>
            </w:r>
          </w:p>
        </w:tc>
      </w:tr>
      <w:tr>
        <w:trPr>
          <w:cantSplit w:val="0"/>
          <w:tblHeader w:val="0"/>
        </w:trPr>
        <w:tc>
          <w:tcPr>
            <w:vAlign w:val="cente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F-8</w:t>
            </w:r>
          </w:p>
        </w:tc>
        <w:tc>
          <w:tcPr>
            <w:vAlign w:val="cente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multiple hospitals operating concurrently on the same platform using a hospital-based (tenant) separation model.</w:t>
            </w:r>
          </w:p>
        </w:tc>
      </w:tr>
      <w:tr>
        <w:trPr>
          <w:cantSplit w:val="0"/>
          <w:tblHeader w:val="0"/>
        </w:trPr>
        <w:tc>
          <w:tcPr>
            <w:vAlign w:val="center"/>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F-9</w:t>
            </w:r>
          </w:p>
        </w:tc>
        <w:tc>
          <w:tcPr>
            <w:vAlign w:val="cente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that users can access only the patient data, signals, AI results, and reports belonging to their associated hospital.</w:t>
            </w:r>
          </w:p>
        </w:tc>
      </w:tr>
    </w:tbl>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External Interface Requirements</w:t>
      </w:r>
    </w:p>
    <w:tbl>
      <w:tblPr>
        <w:tblStyle w:val="Table6"/>
        <w:tblW w:w="8640.0" w:type="dxa"/>
        <w:jc w:val="left"/>
        <w:tblLayout w:type="fixed"/>
        <w:tblLook w:val="0400"/>
      </w:tblPr>
      <w:tblGrid>
        <w:gridCol w:w="2835"/>
        <w:gridCol w:w="5805"/>
        <w:tblGridChange w:id="0">
          <w:tblGrid>
            <w:gridCol w:w="2835"/>
            <w:gridCol w:w="5805"/>
          </w:tblGrid>
        </w:tblGridChange>
      </w:tblGrid>
      <w:tr>
        <w:trPr>
          <w:cantSplit w:val="0"/>
          <w:tblHeader w:val="1"/>
        </w:trPr>
        <w:tc>
          <w:tcPr>
            <w:vAlign w:val="center"/>
          </w:tcPr>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 Type</w:t>
            </w:r>
          </w:p>
        </w:tc>
        <w:tc>
          <w:tcPr>
            <w:vAlign w:val="center"/>
          </w:tcPr>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vAlign w:val="cente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dashboard accessible via modern browsers (Chrome, Edge, Firefox).</w:t>
            </w:r>
          </w:p>
        </w:tc>
      </w:tr>
      <w:tr>
        <w:trPr>
          <w:cantSplit w:val="0"/>
          <w:tblHeader w:val="0"/>
        </w:trPr>
        <w:tc>
          <w:tcPr>
            <w:vAlign w:val="center"/>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Interface</w:t>
            </w:r>
          </w:p>
        </w:tc>
        <w:tc>
          <w:tcPr>
            <w:vAlign w:val="cente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IoMT device integration via MQTT or simulated data streams.</w:t>
            </w:r>
          </w:p>
        </w:tc>
      </w:tr>
      <w:tr>
        <w:trPr>
          <w:cantSplit w:val="0"/>
          <w:tblHeader w:val="0"/>
        </w:trPr>
        <w:tc>
          <w:tcPr>
            <w:vAlign w:val="center"/>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Interface</w:t>
            </w:r>
          </w:p>
        </w:tc>
        <w:tc>
          <w:tcPr>
            <w:vAlign w:val="cente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 between frontend, backend, and AI module.</w:t>
            </w:r>
          </w:p>
        </w:tc>
      </w:tr>
      <w:tr>
        <w:trPr>
          <w:cantSplit w:val="0"/>
          <w:tblHeader w:val="0"/>
        </w:trPr>
        <w:tc>
          <w:tcPr>
            <w:vAlign w:val="cente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Interface</w:t>
            </w:r>
          </w:p>
        </w:tc>
        <w:tc>
          <w:tcPr>
            <w:vAlign w:val="cente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HTTPS and WebSocket protocols for real-time data.</w:t>
            </w:r>
          </w:p>
        </w:tc>
      </w:tr>
      <w:tr>
        <w:trPr>
          <w:cantSplit w:val="0"/>
          <w:tblHeader w:val="0"/>
        </w:trPr>
        <w:tc>
          <w:tcPr>
            <w:vAlign w:val="cente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Interface</w:t>
            </w:r>
          </w:p>
        </w:tc>
        <w:tc>
          <w:tcPr>
            <w:vAlign w:val="cente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or MongoDB for patient signal and log data.</w:t>
            </w:r>
          </w:p>
        </w:tc>
      </w:tr>
    </w:tbl>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Performance Requirements</w:t>
      </w:r>
    </w:p>
    <w:tbl>
      <w:tblPr>
        <w:tblStyle w:val="Table7"/>
        <w:tblW w:w="7528.0" w:type="dxa"/>
        <w:jc w:val="left"/>
        <w:tblLayout w:type="fixed"/>
        <w:tblLook w:val="0400"/>
      </w:tblPr>
      <w:tblGrid>
        <w:gridCol w:w="2420"/>
        <w:gridCol w:w="5108"/>
        <w:tblGridChange w:id="0">
          <w:tblGrid>
            <w:gridCol w:w="2420"/>
            <w:gridCol w:w="5108"/>
          </w:tblGrid>
        </w:tblGridChange>
      </w:tblGrid>
      <w:tr>
        <w:trPr>
          <w:cantSplit w:val="0"/>
          <w:trHeight w:val="472" w:hRule="atLeast"/>
          <w:tblHeader w:val="1"/>
        </w:trPr>
        <w:tc>
          <w:tcPr>
            <w:vAlign w:val="center"/>
          </w:tcPr>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vAlign w:val="center"/>
          </w:tcPr>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r>
      <w:tr>
        <w:trPr>
          <w:cantSplit w:val="0"/>
          <w:trHeight w:val="472" w:hRule="atLeast"/>
          <w:tblHeader w:val="0"/>
        </w:trPr>
        <w:tc>
          <w:tcPr>
            <w:vAlign w:val="cente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tc>
        <w:tc>
          <w:tcPr>
            <w:vAlign w:val="center"/>
          </w:tcPr>
          <w:p w:rsidR="00000000" w:rsidDel="00000000" w:rsidP="00000000" w:rsidRDefault="00000000" w:rsidRPr="00000000" w14:paraId="00000103">
            <w:pPr>
              <w:rPr>
                <w:rFonts w:ascii="Times New Roman" w:cs="Times New Roman" w:eastAsia="Times New Roman" w:hAnsi="Times New Roman"/>
                <w:sz w:val="24"/>
                <w:szCs w:val="24"/>
              </w:rPr>
            </w:pPr>
            <w:sdt>
              <w:sdtPr>
                <w:id w:val="-334843338"/>
                <w:tag w:val="goog_rdk_4"/>
              </w:sdtPr>
              <w:sdtContent>
                <w:r w:rsidDel="00000000" w:rsidR="00000000" w:rsidRPr="00000000">
                  <w:rPr>
                    <w:rFonts w:ascii="Gungsuh" w:cs="Gungsuh" w:eastAsia="Gungsuh" w:hAnsi="Gungsuh"/>
                    <w:sz w:val="24"/>
                    <w:szCs w:val="24"/>
                    <w:rtl w:val="0"/>
                  </w:rPr>
                  <w:t xml:space="preserve">Signal update delay ≤ 1 second</w:t>
                </w:r>
              </w:sdtContent>
            </w:sdt>
          </w:p>
        </w:tc>
      </w:tr>
      <w:tr>
        <w:trPr>
          <w:cantSplit w:val="0"/>
          <w:trHeight w:val="483" w:hRule="atLeast"/>
          <w:tblHeader w:val="0"/>
        </w:trPr>
        <w:tc>
          <w:tcPr>
            <w:vAlign w:val="cente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Inference Time</w:t>
            </w:r>
          </w:p>
        </w:tc>
        <w:tc>
          <w:tcPr>
            <w:vAlign w:val="center"/>
          </w:tcPr>
          <w:p w:rsidR="00000000" w:rsidDel="00000000" w:rsidP="00000000" w:rsidRDefault="00000000" w:rsidRPr="00000000" w14:paraId="00000105">
            <w:pPr>
              <w:rPr>
                <w:rFonts w:ascii="Times New Roman" w:cs="Times New Roman" w:eastAsia="Times New Roman" w:hAnsi="Times New Roman"/>
                <w:sz w:val="24"/>
                <w:szCs w:val="24"/>
              </w:rPr>
            </w:pPr>
            <w:sdt>
              <w:sdtPr>
                <w:id w:val="-700172517"/>
                <w:tag w:val="goog_rdk_5"/>
              </w:sdtPr>
              <w:sdtContent>
                <w:r w:rsidDel="00000000" w:rsidR="00000000" w:rsidRPr="00000000">
                  <w:rPr>
                    <w:rFonts w:ascii="Gungsuh" w:cs="Gungsuh" w:eastAsia="Gungsuh" w:hAnsi="Gungsuh"/>
                    <w:sz w:val="24"/>
                    <w:szCs w:val="24"/>
                    <w:rtl w:val="0"/>
                  </w:rPr>
                  <w:t xml:space="preserve">≤ 2 seconds per evaluation</w:t>
                </w:r>
              </w:sdtContent>
            </w:sdt>
          </w:p>
        </w:tc>
      </w:tr>
      <w:tr>
        <w:trPr>
          <w:cantSplit w:val="0"/>
          <w:trHeight w:val="472" w:hRule="atLeast"/>
          <w:tblHeader w:val="0"/>
        </w:trPr>
        <w:tc>
          <w:tcPr>
            <w:vAlign w:val="cente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Users</w:t>
            </w:r>
          </w:p>
        </w:tc>
        <w:tc>
          <w:tcPr>
            <w:vAlign w:val="cente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10 concurrent users</w:t>
            </w:r>
          </w:p>
        </w:tc>
      </w:tr>
      <w:tr>
        <w:trPr>
          <w:cantSplit w:val="0"/>
          <w:trHeight w:val="472" w:hRule="atLeast"/>
          <w:tblHeader w:val="0"/>
        </w:trPr>
        <w:tc>
          <w:tcPr>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Uptime</w:t>
            </w:r>
          </w:p>
        </w:tc>
        <w:tc>
          <w:tcPr>
            <w:vAlign w:val="center"/>
          </w:tcPr>
          <w:p w:rsidR="00000000" w:rsidDel="00000000" w:rsidP="00000000" w:rsidRDefault="00000000" w:rsidRPr="00000000" w14:paraId="00000109">
            <w:pPr>
              <w:rPr>
                <w:rFonts w:ascii="Times New Roman" w:cs="Times New Roman" w:eastAsia="Times New Roman" w:hAnsi="Times New Roman"/>
                <w:sz w:val="24"/>
                <w:szCs w:val="24"/>
              </w:rPr>
            </w:pPr>
            <w:sdt>
              <w:sdtPr>
                <w:id w:val="205135299"/>
                <w:tag w:val="goog_rdk_6"/>
              </w:sdtPr>
              <w:sdtContent>
                <w:r w:rsidDel="00000000" w:rsidR="00000000" w:rsidRPr="00000000">
                  <w:rPr>
                    <w:rFonts w:ascii="Gungsuh" w:cs="Gungsuh" w:eastAsia="Gungsuh" w:hAnsi="Gungsuh"/>
                    <w:sz w:val="24"/>
                    <w:szCs w:val="24"/>
                    <w:rtl w:val="0"/>
                  </w:rPr>
                  <w:t xml:space="preserve">≥ 95% during prototype testing</w:t>
                </w:r>
              </w:sdtContent>
            </w:sdt>
          </w:p>
        </w:tc>
      </w:tr>
      <w:tr>
        <w:trPr>
          <w:cantSplit w:val="0"/>
          <w:trHeight w:val="775" w:hRule="atLeast"/>
          <w:tblHeader w:val="0"/>
        </w:trPr>
        <w:tc>
          <w:tcPr>
            <w:vAlign w:val="cente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Throughput</w:t>
            </w:r>
          </w:p>
        </w:tc>
        <w:tc>
          <w:tcPr>
            <w:vAlign w:val="center"/>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continuous data stream at 1Hz frequency</w:t>
            </w:r>
          </w:p>
        </w:tc>
      </w:tr>
    </w:tbl>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Design Constraints</w:t>
      </w:r>
    </w:p>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adhere to IEEE 1058 (Project Management) and ISO/IEC/IEEE 29148 (Requirements) standards.</w:t>
      </w:r>
    </w:p>
    <w:p w:rsidR="00000000" w:rsidDel="00000000" w:rsidP="00000000" w:rsidRDefault="00000000" w:rsidRPr="00000000" w14:paraId="000001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modular architecture separating data, AI, and UI layers.</w:t>
      </w:r>
    </w:p>
    <w:p w:rsidR="00000000" w:rsidDel="00000000" w:rsidP="00000000" w:rsidRDefault="00000000" w:rsidRPr="00000000" w14:paraId="000001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Python (Flask, TensorFlow) and JavaScript (React) as development languages.</w:t>
      </w:r>
    </w:p>
    <w:p w:rsidR="00000000" w:rsidDel="00000000" w:rsidP="00000000" w:rsidRDefault="00000000" w:rsidRPr="00000000" w14:paraId="000001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 HIPAA/GDPR principles for patient data handling.</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System Attributes</w:t>
      </w:r>
    </w:p>
    <w:p w:rsidR="00000000" w:rsidDel="00000000" w:rsidP="00000000" w:rsidRDefault="00000000" w:rsidRPr="00000000" w14:paraId="00000114">
      <w:pPr>
        <w:rPr/>
      </w:pPr>
      <w:r w:rsidDel="00000000" w:rsidR="00000000" w:rsidRPr="00000000">
        <w:rPr>
          <w:rtl w:val="0"/>
        </w:rPr>
        <w:t xml:space="preserve">This section evaluates the software quality of the system in accordance with the ISO/IEC 25010:2011 quality model. The following subsections describe the main quality attributes of the proposed system and how each will be achieved and maintained throughout development and deployment.</w:t>
      </w:r>
    </w:p>
    <w:p w:rsidR="00000000" w:rsidDel="00000000" w:rsidP="00000000" w:rsidRDefault="00000000" w:rsidRPr="00000000" w14:paraId="00000115">
      <w:pPr>
        <w:rPr>
          <w:b w:val="1"/>
          <w:bCs w:val="1"/>
        </w:rPr>
      </w:pPr>
      <w:r w:rsidDel="00000000" w:rsidR="00000000" w:rsidRPr="00000000">
        <w:rPr>
          <w:b w:val="1"/>
          <w:bCs w:val="1"/>
          <w:rtl w:val="0"/>
        </w:rPr>
        <w:t xml:space="preserve">1. Reliability</w:t>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includes an automatic reconnection mechanism to handle interruptions in NICU data streams.</w:t>
      </w:r>
    </w:p>
    <w:p w:rsidR="00000000" w:rsidDel="00000000" w:rsidP="00000000" w:rsidRDefault="00000000" w:rsidRPr="00000000" w14:paraId="000001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Fault-tolerant processing minimizes false alarms during model training and inference.</w:t>
      </w:r>
    </w:p>
    <w:p w:rsidR="00000000" w:rsidDel="00000000" w:rsidP="00000000" w:rsidRDefault="00000000" w:rsidRPr="00000000" w14:paraId="000001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Continuous data validation ensures early detection of sensor errors and corrupted data.</w:t>
      </w:r>
    </w:p>
    <w:p w:rsidR="00000000" w:rsidDel="00000000" w:rsidP="00000000" w:rsidRDefault="00000000" w:rsidRPr="00000000" w14:paraId="00000119">
      <w:pPr>
        <w:rPr>
          <w:b w:val="1"/>
          <w:bCs w:val="1"/>
        </w:rPr>
      </w:pPr>
      <w:r w:rsidDel="00000000" w:rsidR="00000000" w:rsidRPr="00000000">
        <w:rPr>
          <w:b w:val="1"/>
          <w:bCs w:val="1"/>
          <w:rtl w:val="0"/>
        </w:rPr>
        <w:t xml:space="preserve">2. Security</w:t>
      </w:r>
    </w:p>
    <w:p w:rsidR="00000000" w:rsidDel="00000000" w:rsidP="00000000" w:rsidRDefault="00000000" w:rsidRPr="00000000" w14:paraId="000001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patient data are anonymized in compliance with KVKK and HIPAA standards.</w:t>
      </w:r>
    </w:p>
    <w:p w:rsidR="00000000" w:rsidDel="00000000" w:rsidP="00000000" w:rsidRDefault="00000000" w:rsidRPr="00000000" w14:paraId="000001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access is secured using JWT-based authentication mechanisms.</w:t>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Encrypted communication is enforced through the HTTPS protocol to ensure data confidentiality.</w:t>
      </w:r>
    </w:p>
    <w:p w:rsidR="00000000" w:rsidDel="00000000" w:rsidP="00000000" w:rsidRDefault="00000000" w:rsidRPr="00000000" w14:paraId="0000011D">
      <w:pPr>
        <w:numPr>
          <w:ilvl w:val="0"/>
          <w:numId w:val="13"/>
        </w:numPr>
        <w:ind w:left="720" w:hanging="360"/>
      </w:pPr>
      <w:r w:rsidDel="00000000" w:rsidR="00000000" w:rsidRPr="00000000">
        <w:rPr>
          <w:rtl w:val="0"/>
        </w:rPr>
        <w:t xml:space="preserve">Hospital-level data isolation is enforced to prevent unauthorized cross-hospital data access in multi-tenant deployments.</w:t>
      </w:r>
    </w:p>
    <w:p w:rsidR="00000000" w:rsidDel="00000000" w:rsidP="00000000" w:rsidRDefault="00000000" w:rsidRPr="00000000" w14:paraId="0000011E">
      <w:pPr>
        <w:rPr>
          <w:b w:val="1"/>
          <w:bCs w:val="1"/>
        </w:rPr>
      </w:pPr>
      <w:r w:rsidDel="00000000" w:rsidR="00000000" w:rsidRPr="00000000">
        <w:rPr>
          <w:b w:val="1"/>
          <w:bCs w:val="1"/>
          <w:rtl w:val="0"/>
        </w:rPr>
        <w:t xml:space="preserve">3. Performance Efficiency</w:t>
      </w:r>
    </w:p>
    <w:p w:rsidR="00000000" w:rsidDel="00000000" w:rsidP="00000000" w:rsidRDefault="00000000" w:rsidRPr="00000000" w14:paraId="00000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prediction latency of the model is optimized to operate within milliseconds.</w:t>
      </w:r>
    </w:p>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GPU acceleration using PyTorch/TensorFlow ensures efficient model inference.</w:t>
      </w:r>
    </w:p>
    <w:p w:rsidR="00000000" w:rsidDel="00000000" w:rsidP="00000000" w:rsidRDefault="00000000" w:rsidRPr="00000000" w14:paraId="000001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preprocessing pipelines are optimized to minimize redundant data transfer and computation.</w:t>
      </w:r>
    </w:p>
    <w:p w:rsidR="00000000" w:rsidDel="00000000" w:rsidP="00000000" w:rsidRDefault="00000000" w:rsidRPr="00000000" w14:paraId="00000122">
      <w:pPr>
        <w:rPr>
          <w:b w:val="1"/>
          <w:bCs w:val="1"/>
        </w:rPr>
      </w:pPr>
      <w:r w:rsidDel="00000000" w:rsidR="00000000" w:rsidRPr="00000000">
        <w:rPr>
          <w:b w:val="1"/>
          <w:bCs w:val="1"/>
          <w:rtl w:val="0"/>
        </w:rPr>
        <w:t xml:space="preserve">4. Usability</w:t>
      </w:r>
    </w:p>
    <w:p w:rsidR="00000000" w:rsidDel="00000000" w:rsidP="00000000" w:rsidRDefault="00000000" w:rsidRPr="00000000" w14:paraId="000001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clinical user interface is designed with simplicity and clarity, incorporating color-coded alerts.</w:t>
      </w:r>
    </w:p>
    <w:p w:rsidR="00000000" w:rsidDel="00000000" w:rsidP="00000000" w:rsidRDefault="00000000" w:rsidRPr="00000000" w14:paraId="000001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Minimal training is required for NICU staff due to intuitive design principles.</w:t>
      </w:r>
    </w:p>
    <w:p w:rsidR="00000000" w:rsidDel="00000000" w:rsidP="00000000" w:rsidRDefault="00000000" w:rsidRPr="00000000" w14:paraId="000001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Visualization tools are aligned with medical staff data interpretation habits for faster decision-making.</w:t>
      </w:r>
    </w:p>
    <w:p w:rsidR="00000000" w:rsidDel="00000000" w:rsidP="00000000" w:rsidRDefault="00000000" w:rsidRPr="00000000" w14:paraId="00000126">
      <w:pPr>
        <w:rPr>
          <w:b w:val="1"/>
          <w:bCs w:val="1"/>
        </w:rPr>
      </w:pPr>
      <w:r w:rsidDel="00000000" w:rsidR="00000000" w:rsidRPr="00000000">
        <w:rPr>
          <w:b w:val="1"/>
          <w:bCs w:val="1"/>
          <w:rtl w:val="0"/>
        </w:rPr>
        <w:t xml:space="preserve">5. Maintainability</w:t>
      </w:r>
    </w:p>
    <w:p w:rsidR="00000000" w:rsidDel="00000000" w:rsidP="00000000" w:rsidRDefault="00000000" w:rsidRPr="00000000" w14:paraId="000001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codebase follows a modular architecture separating data preprocessing, model training, and inference modules.</w:t>
      </w:r>
    </w:p>
    <w:p w:rsidR="00000000" w:rsidDel="00000000" w:rsidP="00000000" w:rsidRDefault="00000000" w:rsidRPr="00000000" w14:paraId="000001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Version control is maintained through Git for traceability and collaborative development.</w:t>
      </w:r>
    </w:p>
    <w:p w:rsidR="00000000" w:rsidDel="00000000" w:rsidP="00000000" w:rsidRDefault="00000000" w:rsidRPr="00000000" w14:paraId="000001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Structured logging and debugging systems are implemented for easier maintenance and error tracking.</w:t>
      </w:r>
    </w:p>
    <w:p w:rsidR="00000000" w:rsidDel="00000000" w:rsidP="00000000" w:rsidRDefault="00000000" w:rsidRPr="00000000" w14:paraId="0000012A">
      <w:pPr>
        <w:rPr>
          <w:b w:val="1"/>
          <w:bCs w:val="1"/>
        </w:rPr>
      </w:pPr>
      <w:r w:rsidDel="00000000" w:rsidR="00000000" w:rsidRPr="00000000">
        <w:rPr>
          <w:b w:val="1"/>
          <w:bCs w:val="1"/>
          <w:rtl w:val="0"/>
        </w:rPr>
        <w:t xml:space="preserve">6. Portability</w:t>
      </w:r>
    </w:p>
    <w:p w:rsidR="00000000" w:rsidDel="00000000" w:rsidP="00000000" w:rsidRDefault="00000000" w:rsidRPr="00000000" w14:paraId="000001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is containerized using Docker for consistent deployment across different environments.</w:t>
      </w:r>
    </w:p>
    <w:p w:rsidR="00000000" w:rsidDel="00000000" w:rsidP="00000000" w:rsidRDefault="00000000" w:rsidRPr="00000000" w14:paraId="000001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operates seamlessly on both Linux and Windows platforms.</w:t>
      </w:r>
    </w:p>
    <w:p w:rsidR="00000000" w:rsidDel="00000000" w:rsidP="00000000" w:rsidRDefault="00000000" w:rsidRPr="00000000" w14:paraId="000001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database dependency is limited to PostgreSQL/PostGIS, enabling easy migration and integration.</w:t>
      </w:r>
    </w:p>
    <w:p w:rsidR="00000000" w:rsidDel="00000000" w:rsidP="00000000" w:rsidRDefault="00000000" w:rsidRPr="00000000" w14:paraId="0000012E">
      <w:pPr>
        <w:rPr>
          <w:b w:val="1"/>
          <w:bCs w:val="1"/>
        </w:rPr>
      </w:pPr>
      <w:r w:rsidDel="00000000" w:rsidR="00000000" w:rsidRPr="00000000">
        <w:rPr>
          <w:b w:val="1"/>
          <w:bCs w:val="1"/>
          <w:rtl w:val="0"/>
        </w:rPr>
        <w:t xml:space="preserve">7. Compliance</w:t>
      </w:r>
    </w:p>
    <w:p w:rsidR="00000000" w:rsidDel="00000000" w:rsidP="00000000" w:rsidRDefault="00000000" w:rsidRPr="00000000" w14:paraId="000001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adheres to ISO/IEC/IEEE 29148:2018 and ISO/IEC 25010:2011 standards.</w:t>
      </w:r>
    </w:p>
    <w:p w:rsidR="00000000" w:rsidDel="00000000" w:rsidP="00000000" w:rsidRDefault="00000000" w:rsidRPr="00000000" w14:paraId="000001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privacy, security, and legal compliance are ensured under the “Realistic Constraints and Conditions” principles.</w:t>
      </w:r>
    </w:p>
    <w:p w:rsidR="00000000" w:rsidDel="00000000" w:rsidP="00000000" w:rsidRDefault="00000000" w:rsidRPr="00000000" w14:paraId="0000013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healthcare data components are designed in accordance with ethical guidelines and hospital IT policies.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numPr>
          <w:ilvl w:val="1"/>
          <w:numId w:val="11"/>
        </w:numPr>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Other Requirements</w:t>
      </w:r>
    </w:p>
    <w:p w:rsidR="00000000" w:rsidDel="00000000" w:rsidP="00000000" w:rsidRDefault="00000000" w:rsidRPr="00000000" w14:paraId="000001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integration with hospital information systems (HIS) through FHIR API.</w:t>
      </w:r>
    </w:p>
    <w:p w:rsidR="00000000" w:rsidDel="00000000" w:rsidP="00000000" w:rsidRDefault="00000000" w:rsidRPr="00000000" w14:paraId="000001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 of multilingual interface (English/Turkish).</w:t>
      </w:r>
    </w:p>
    <w:p w:rsidR="00000000" w:rsidDel="00000000" w:rsidP="00000000" w:rsidRDefault="00000000" w:rsidRPr="00000000" w14:paraId="000001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feedback loop from clinicians for model improvement.</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Requirement Identification Schema</w:t>
      </w:r>
      <w:r w:rsidDel="00000000" w:rsidR="00000000" w:rsidRPr="00000000">
        <w:rPr>
          <w:rtl w:val="0"/>
        </w:rPr>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30"/>
        <w:gridCol w:w="1470"/>
        <w:gridCol w:w="4080"/>
        <w:tblGridChange w:id="0">
          <w:tblGrid>
            <w:gridCol w:w="1860"/>
            <w:gridCol w:w="1230"/>
            <w:gridCol w:w="1470"/>
            <w:gridCol w:w="40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a specific capability of the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 Quality Attribute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Describes measurable system qualities such as reliability, security, or performance.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technical or environmental limits such as hardware, legal, or timing constraints.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how each requirement will be verified.</w:t>
            </w:r>
          </w:p>
        </w:tc>
      </w:tr>
    </w:tbl>
    <w:p w:rsidR="00000000" w:rsidDel="00000000" w:rsidP="00000000" w:rsidRDefault="00000000" w:rsidRPr="00000000" w14:paraId="0000014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Traceability Matrix</w:t>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920"/>
        <w:gridCol w:w="1695"/>
        <w:gridCol w:w="1770"/>
        <w:gridCol w:w="1575"/>
        <w:tblGridChange w:id="0">
          <w:tblGrid>
            <w:gridCol w:w="1665"/>
            <w:gridCol w:w="1920"/>
            <w:gridCol w:w="1695"/>
            <w:gridCol w:w="1770"/>
            <w:gridCol w:w="157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Attribute (ISO/IEC 25010)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Method</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live physiological signals (ECG, SpO₂, respiration) in 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sdt>
              <w:sdtPr>
                <w:id w:val="-909363271"/>
                <w:tag w:val="goog_rdk_7"/>
              </w:sdtPr>
              <w:sdtContent>
                <w:r w:rsidDel="00000000" w:rsidR="00000000" w:rsidRPr="00000000">
                  <w:rPr>
                    <w:rFonts w:ascii="Gungsuh" w:cs="Gungsuh" w:eastAsia="Gungsuh" w:hAnsi="Gungsuh"/>
                    <w:sz w:val="24"/>
                    <w:szCs w:val="24"/>
                    <w:rtl w:val="0"/>
                  </w:rPr>
                  <w:t xml:space="preserve">C-001 (Network latency ≤ 1s)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 — Time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with simulated NICU stream</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module shall classify respiratory and cardiac distress levels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4"/>
                <w:szCs w:val="24"/>
              </w:rPr>
            </w:pPr>
            <w:sdt>
              <w:sdtPr>
                <w:id w:val="466082258"/>
                <w:tag w:val="goog_rdk_8"/>
              </w:sdtPr>
              <w:sdtContent>
                <w:r w:rsidDel="00000000" w:rsidR="00000000" w:rsidRPr="00000000">
                  <w:rPr>
                    <w:rFonts w:ascii="Gungsuh" w:cs="Gungsuh" w:eastAsia="Gungsuh" w:hAnsi="Gungsuh"/>
                    <w:sz w:val="24"/>
                    <w:szCs w:val="24"/>
                    <w:rtl w:val="0"/>
                  </w:rPr>
                  <w:t xml:space="preserve">C-002 (GPU memory ≤ 4GB)</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 —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validation and benchmark test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user authentication and role-based access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C-003 (JWT-based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 Integrity, Confidentiality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Penetration testing, role-based access tests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shall generate clinical reports in PDF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sdt>
              <w:sdtPr>
                <w:id w:val="631038487"/>
                <w:tag w:val="goog_rdk_9"/>
              </w:sdtPr>
              <w:sdtContent>
                <w:r w:rsidDel="00000000" w:rsidR="00000000" w:rsidRPr="00000000">
                  <w:rPr>
                    <w:rFonts w:ascii="Gungsuh" w:cs="Gungsuh" w:eastAsia="Gungsuh" w:hAnsi="Gungsuh"/>
                    <w:sz w:val="24"/>
                    <w:szCs w:val="24"/>
                    <w:rtl w:val="0"/>
                  </w:rPr>
                  <w:t xml:space="preserve">C-004 (Export ≤ 3s)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 Operability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sdt>
              <w:sdtPr>
                <w:id w:val="-1676516169"/>
                <w:tag w:val="goog_rdk_10"/>
              </w:sdtPr>
              <w:sdtContent>
                <w:r w:rsidDel="00000000" w:rsidR="00000000" w:rsidRPr="00000000">
                  <w:rPr>
                    <w:rFonts w:ascii="Gungsuh" w:cs="Gungsuh" w:eastAsia="Gungsuh" w:hAnsi="Gungsuh"/>
                    <w:sz w:val="24"/>
                    <w:szCs w:val="24"/>
                    <w:rtl w:val="0"/>
                  </w:rPr>
                  <w:t xml:space="preserve">The system shall maintain uptime ≥ 95% during operation.</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C-005 (Server redundancy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testing and uptime monitoring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communication shall use HTTPS and AES-256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C-006 (GDPR/KVKK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 Confidentiality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audit and data packet inspection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shall respond to user input within 1 second.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sdt>
              <w:sdtPr>
                <w:id w:val="-128447621"/>
                <w:tag w:val="goog_rdk_11"/>
              </w:sdtPr>
              <w:sdtContent>
                <w:r w:rsidDel="00000000" w:rsidR="00000000" w:rsidRPr="00000000">
                  <w:rPr>
                    <w:rFonts w:ascii="Gungsuh" w:cs="Gungsuh" w:eastAsia="Gungsuh" w:hAnsi="Gungsuh"/>
                    <w:sz w:val="24"/>
                    <w:szCs w:val="24"/>
                    <w:rtl w:val="0"/>
                  </w:rPr>
                  <w:t xml:space="preserve">C-007 (CPU load ≤ 70%)</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 — Resource 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testing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shall support both English and Turkish languages.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C-008 (Localization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testing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operate on both Windows and Linux environments using 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C-009 (Cross-platform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 — Adaptability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validation test</w:t>
            </w:r>
          </w:p>
        </w:tc>
      </w:tr>
    </w:tbl>
    <w:p w:rsidR="00000000" w:rsidDel="00000000" w:rsidP="00000000" w:rsidRDefault="00000000" w:rsidRPr="00000000" w14:paraId="0000018A">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3jv3p2p1i8h8" w:id="8"/>
      <w:bookmarkEnd w:id="8"/>
      <w:r w:rsidDel="00000000" w:rsidR="00000000" w:rsidRPr="00000000">
        <w:rPr>
          <w:rFonts w:ascii="Times New Roman" w:cs="Times New Roman" w:eastAsia="Times New Roman" w:hAnsi="Times New Roman"/>
          <w:color w:val="000000"/>
          <w:sz w:val="24"/>
          <w:szCs w:val="24"/>
          <w:rtl w:val="0"/>
        </w:rPr>
        <w:t xml:space="preserve">4.3 Traceability Chain Example</w:t>
      </w:r>
    </w:p>
    <w:p w:rsidR="00000000" w:rsidDel="00000000" w:rsidP="00000000" w:rsidRDefault="00000000" w:rsidRPr="00000000" w14:paraId="0000018B">
      <w:pPr>
        <w:spacing w:after="240" w:before="240" w:lineRule="auto"/>
        <w:rPr>
          <w:rFonts w:ascii="Times New Roman" w:cs="Times New Roman" w:eastAsia="Times New Roman" w:hAnsi="Times New Roman"/>
          <w:b w:val="1"/>
          <w:bCs w:val="1"/>
          <w:sz w:val="24"/>
          <w:szCs w:val="24"/>
        </w:rPr>
      </w:pPr>
      <w:sdt>
        <w:sdtPr>
          <w:id w:val="838795516"/>
          <w:tag w:val="goog_rdk_12"/>
        </w:sdtPr>
        <w:sdtContent>
          <w:r w:rsidDel="00000000" w:rsidR="00000000" w:rsidRPr="00000000">
            <w:rPr>
              <w:rFonts w:ascii="Cardo" w:cs="Cardo" w:eastAsia="Cardo" w:hAnsi="Cardo"/>
              <w:b w:val="1"/>
              <w:bCs w:val="1"/>
              <w:sz w:val="24"/>
              <w:szCs w:val="24"/>
              <w:rtl w:val="0"/>
            </w:rPr>
            <w:t xml:space="preserve">Stakeholder Need → F-002 → C-002 → Q-001 → T-004</w:t>
          </w:r>
        </w:sdtContent>
      </w:sdt>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br w:type="textWrapping"/>
      </w:r>
      <w:r w:rsidDel="00000000" w:rsidR="00000000" w:rsidRPr="00000000">
        <w:rPr>
          <w:rFonts w:ascii="Times New Roman" w:cs="Times New Roman" w:eastAsia="Times New Roman" w:hAnsi="Times New Roman"/>
          <w:sz w:val="24"/>
          <w:szCs w:val="24"/>
          <w:rtl w:val="0"/>
        </w:rPr>
        <w:t xml:space="preserve">NICU clinicians require real-time AI-assisted distress classification (F-002).</w:t>
        <w:br w:type="textWrapping"/>
        <w:t xml:space="preserve">Hardware limitations (C-002) define acceptable model size and memory use.</w:t>
        <w:br w:type="textWrapping"/>
        <w:t xml:space="preserve">Reliability (Q-001) ensures stable model inference over long operation times.</w:t>
        <w:br w:type="textWrapping"/>
        <w:t xml:space="preserve">Verification occurs through Test Case T-004, evaluating inference time and consistency.</w:t>
      </w:r>
    </w:p>
    <w:p w:rsidR="00000000" w:rsidDel="00000000" w:rsidP="00000000" w:rsidRDefault="00000000" w:rsidRPr="00000000" w14:paraId="0000018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jx15xugncqlq" w:id="9"/>
      <w:bookmarkEnd w:id="9"/>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3"/>
        <w:keepNext w:val="0"/>
        <w:keepLines w:val="0"/>
        <w:spacing w:after="80" w:before="280" w:lineRule="auto"/>
        <w:rPr>
          <w:rFonts w:ascii="Times New Roman" w:cs="Times New Roman" w:eastAsia="Times New Roman" w:hAnsi="Times New Roman"/>
        </w:rPr>
      </w:pPr>
      <w:bookmarkStart w:colFirst="0" w:colLast="0" w:name="_heading=h.quiake482cvn" w:id="10"/>
      <w:bookmarkEnd w:id="10"/>
      <w:r w:rsidDel="00000000" w:rsidR="00000000" w:rsidRPr="00000000">
        <w:rPr>
          <w:rFonts w:ascii="Times New Roman" w:cs="Times New Roman" w:eastAsia="Times New Roman" w:hAnsi="Times New Roman"/>
          <w:color w:val="000000"/>
          <w:sz w:val="24"/>
          <w:szCs w:val="24"/>
          <w:rtl w:val="0"/>
        </w:rPr>
        <w:t xml:space="preserve">4.4 Quality Attribute Mapping</w:t>
      </w:r>
      <w:r w:rsidDel="00000000" w:rsidR="00000000" w:rsidRPr="00000000">
        <w:rPr>
          <w:rtl w:val="0"/>
        </w:rPr>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588667366212"/>
        <w:gridCol w:w="2452.3819517313746"/>
        <w:gridCol w:w="1622.8331584470095"/>
        <w:gridCol w:w="2221.196222455404"/>
        <w:tblGridChange w:id="0">
          <w:tblGrid>
            <w:gridCol w:w="2343.588667366212"/>
            <w:gridCol w:w="2452.3819517313746"/>
            <w:gridCol w:w="1622.8331584470095"/>
            <w:gridCol w:w="2221.19622245540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25010 Quality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Feature or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IDs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Measurement Metric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 stream 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F-001, Q-003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sdt>
              <w:sdtPr>
                <w:id w:val="-435603103"/>
                <w:tag w:val="goog_rdk_13"/>
              </w:sdtPr>
              <w:sdtContent>
                <w:r w:rsidDel="00000000" w:rsidR="00000000" w:rsidRPr="00000000">
                  <w:rPr>
                    <w:rFonts w:ascii="Gungsuh" w:cs="Gungsuh" w:eastAsia="Gungsuh" w:hAnsi="Gungsuh"/>
                    <w:sz w:val="24"/>
                    <w:szCs w:val="24"/>
                    <w:rtl w:val="0"/>
                  </w:rPr>
                  <w:t xml:space="preserve">Latency ≤ 1s</w:t>
                </w:r>
              </w:sdtContent>
            </w:sdt>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Fault-tolerant data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sdt>
              <w:sdtPr>
                <w:id w:val="603398546"/>
                <w:tag w:val="goog_rdk_14"/>
              </w:sdtPr>
              <w:sdtContent>
                <w:r w:rsidDel="00000000" w:rsidR="00000000" w:rsidRPr="00000000">
                  <w:rPr>
                    <w:rFonts w:ascii="Gungsuh" w:cs="Gungsuh" w:eastAsia="Gungsuh" w:hAnsi="Gungsuh"/>
                    <w:sz w:val="24"/>
                    <w:szCs w:val="24"/>
                    <w:rtl w:val="0"/>
                  </w:rPr>
                  <w:t xml:space="preserve">Uptime ≥ 95%</w:t>
                </w:r>
              </w:sdtContent>
            </w:sdt>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data transmission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F-003, Q-002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AES-256, HTTPS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Clinician-friendly dashboard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F-004, Q-004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completion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architecture, 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Time to Repair (MTTR)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Docker-based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Multi-platform compatibility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 HIPAA, KVKK adherence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audit checklist</w:t>
            </w:r>
          </w:p>
        </w:tc>
      </w:tr>
    </w:tbl>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 References Between Requirements and Test Cases</w:t>
      </w:r>
      <w:r w:rsidDel="00000000" w:rsidR="00000000" w:rsidRPr="00000000">
        <w:rPr>
          <w:rtl w:val="0"/>
        </w:rPr>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8553054662377"/>
        <w:gridCol w:w="2143.794212218649"/>
        <w:gridCol w:w="4741.3504823151125"/>
        <w:tblGridChange w:id="0">
          <w:tblGrid>
            <w:gridCol w:w="1754.8553054662377"/>
            <w:gridCol w:w="2143.794212218649"/>
            <w:gridCol w:w="4741.3504823151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Linked 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Objective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real-time visualization accuracy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AI inference within target latency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secure access and user role handling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data encryption and confidentiality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containerized deployment on multiple OS</w:t>
            </w:r>
          </w:p>
        </w:tc>
      </w:tr>
    </w:tbl>
    <w:p w:rsidR="00000000" w:rsidDel="00000000" w:rsidP="00000000" w:rsidRDefault="00000000" w:rsidRPr="00000000" w14:paraId="000001C2">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i8vxwazv98a" w:id="11"/>
      <w:bookmarkEnd w:id="11"/>
      <w:r w:rsidDel="00000000" w:rsidR="00000000" w:rsidRPr="00000000">
        <w:rPr>
          <w:rFonts w:ascii="Times New Roman" w:cs="Times New Roman" w:eastAsia="Times New Roman" w:hAnsi="Times New Roman"/>
          <w:color w:val="000000"/>
          <w:sz w:val="24"/>
          <w:szCs w:val="24"/>
          <w:rtl w:val="0"/>
        </w:rPr>
        <w:t xml:space="preserve">4.6 Traceability Maintenance</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requirement IDs and test mappings are version-controlled using Git. Each modification triggers an automated update in the traceability table. The document follows the IEEE 29148 traceability principle:</w:t>
        <w:br w:type="textWrapping"/>
        <w:t xml:space="preserve">“Every requirement shall be uniquely identifiable, verifiable, and traceable across all project artifacts.”</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Style w:val="Heading2"/>
        <w:rPr>
          <w:rFonts w:ascii="Times New Roman" w:cs="Times New Roman" w:eastAsia="Times New Roman" w:hAnsi="Times New Roman"/>
          <w:i w:val="1"/>
          <w:iCs w:val="1"/>
          <w:sz w:val="24"/>
          <w:szCs w:val="24"/>
        </w:rPr>
      </w:pPr>
      <w:bookmarkStart w:colFirst="0" w:colLast="0" w:name="_heading=h.a6qvajnlk889" w:id="12"/>
      <w:bookmarkEnd w:id="12"/>
      <w:r w:rsidDel="00000000" w:rsidR="00000000" w:rsidRPr="00000000">
        <w:rPr>
          <w:rFonts w:ascii="Times New Roman" w:cs="Times New Roman" w:eastAsia="Times New Roman" w:hAnsi="Times New Roman"/>
          <w:color w:val="000000"/>
          <w:sz w:val="24"/>
          <w:szCs w:val="24"/>
          <w:rtl w:val="0"/>
        </w:rPr>
        <w:t xml:space="preserve">5. References</w:t>
      </w:r>
      <w:r w:rsidDel="00000000" w:rsidR="00000000" w:rsidRPr="00000000">
        <w:rPr>
          <w:rtl w:val="0"/>
        </w:rPr>
      </w:r>
    </w:p>
    <w:p w:rsidR="00000000" w:rsidDel="00000000" w:rsidP="00000000" w:rsidRDefault="00000000" w:rsidRPr="00000000" w14:paraId="000001C6">
      <w:pPr>
        <w:spacing w:after="240" w:before="240" w:lineRule="auto"/>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Goldberger, A. L., Amaral, L. A. N., Glass, L., Hausdorff, J. M., Ivanov, P. C., Mark, R. G., Mietus, J. E., Moody, G. B., Peng, C.-K., &amp; Stanley, H. E. (2000). PhysioBank, PhysioToolkit, and PhysioNet: Components of a new research resource for complex physiologic signals. Circulation, 101(23), e215–e220. Retrieved from</w:t>
      </w:r>
      <w:hyperlink r:id="rId10">
        <w:r w:rsidDel="00000000" w:rsidR="00000000" w:rsidRPr="00000000">
          <w:rPr>
            <w:rFonts w:ascii="Times New Roman" w:cs="Times New Roman" w:eastAsia="Times New Roman" w:hAnsi="Times New Roman"/>
            <w:i w:val="1"/>
            <w:iCs w:val="1"/>
            <w:sz w:val="24"/>
            <w:szCs w:val="24"/>
            <w:rtl w:val="0"/>
          </w:rPr>
          <w:t xml:space="preserve"> </w:t>
        </w:r>
      </w:hyperlink>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https://physionet.org/content/</w:t>
        </w:r>
      </w:hyperlink>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International Electrotechnical Commission (IEC). (2015). IEC 62304:2015 — Medical device software — Software life cycle processes. Retrieved from </w:t>
      </w:r>
      <w:hyperlink r:id="rId12">
        <w:r w:rsidDel="00000000" w:rsidR="00000000" w:rsidRPr="00000000">
          <w:rPr>
            <w:rFonts w:ascii="Times New Roman" w:cs="Times New Roman" w:eastAsia="Times New Roman" w:hAnsi="Times New Roman"/>
            <w:i w:val="1"/>
            <w:iCs w:val="1"/>
            <w:color w:val="1155cc"/>
            <w:sz w:val="24"/>
            <w:szCs w:val="24"/>
            <w:u w:val="single"/>
            <w:rtl w:val="0"/>
          </w:rPr>
          <w:t xml:space="preserve">https://webstore.iec.ch/publication/22786</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C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International Organization for Standardization. (2011). ISO/IEC 25010:2011 — Systems and software engineering — Systems and software Quality Requirements and Evaluation (SQuaRE) — System and software quality models. Retrieved from </w:t>
      </w:r>
      <w:hyperlink r:id="rId13">
        <w:r w:rsidDel="00000000" w:rsidR="00000000" w:rsidRPr="00000000">
          <w:rPr>
            <w:rFonts w:ascii="Times New Roman" w:cs="Times New Roman" w:eastAsia="Times New Roman" w:hAnsi="Times New Roman"/>
            <w:i w:val="1"/>
            <w:iCs w:val="1"/>
            <w:color w:val="1155cc"/>
            <w:sz w:val="24"/>
            <w:szCs w:val="24"/>
            <w:u w:val="single"/>
            <w:rtl w:val="0"/>
          </w:rPr>
          <w:t xml:space="preserve">https://www.iso.org/standard/35733.html</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C9">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International Organization for Standardization. (2018). ISO 26262:2018 — Road vehicles — Functional safety. Retrieved from </w:t>
      </w:r>
      <w:hyperlink r:id="rId14">
        <w:r w:rsidDel="00000000" w:rsidR="00000000" w:rsidRPr="00000000">
          <w:rPr>
            <w:rFonts w:ascii="Times New Roman" w:cs="Times New Roman" w:eastAsia="Times New Roman" w:hAnsi="Times New Roman"/>
            <w:i w:val="1"/>
            <w:iCs w:val="1"/>
            <w:color w:val="1155cc"/>
            <w:sz w:val="24"/>
            <w:szCs w:val="24"/>
            <w:u w:val="single"/>
            <w:rtl w:val="0"/>
          </w:rPr>
          <w:t xml:space="preserve">https://www.iso.org/standard/68383.html</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C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International Organization for Standardization. (2022). ISO/IEC 27001:2022 — Information security, cybersecurity and privacy protection — Information security management systems. Retrieved from </w:t>
      </w:r>
      <w:hyperlink r:id="rId15">
        <w:r w:rsidDel="00000000" w:rsidR="00000000" w:rsidRPr="00000000">
          <w:rPr>
            <w:rFonts w:ascii="Times New Roman" w:cs="Times New Roman" w:eastAsia="Times New Roman" w:hAnsi="Times New Roman"/>
            <w:i w:val="1"/>
            <w:iCs w:val="1"/>
            <w:color w:val="1155cc"/>
            <w:sz w:val="24"/>
            <w:szCs w:val="24"/>
            <w:u w:val="single"/>
            <w:rtl w:val="0"/>
          </w:rPr>
          <w:t xml:space="preserve">https://www.iso.org/standard/82875.html</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C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International Organization for Standardization &amp; IEEE. (2018). ISO/IEC/IEEE 29148:2018 — Systems and software engineering — Life cycle processes — Requirements engineering. Retrieved from </w:t>
      </w:r>
      <w:hyperlink r:id="rId16">
        <w:r w:rsidDel="00000000" w:rsidR="00000000" w:rsidRPr="00000000">
          <w:rPr>
            <w:rFonts w:ascii="Times New Roman" w:cs="Times New Roman" w:eastAsia="Times New Roman" w:hAnsi="Times New Roman"/>
            <w:i w:val="1"/>
            <w:iCs w:val="1"/>
            <w:color w:val="1155cc"/>
            <w:sz w:val="24"/>
            <w:szCs w:val="24"/>
            <w:u w:val="single"/>
            <w:rtl w:val="0"/>
          </w:rPr>
          <w:t xml:space="preserve">https://www.iso.org/standard/72089.html</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C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Open Web Application Security Project (OWASP). (2023). OWASP Top Ten Security Risks for Web Applications. Retrieved from </w:t>
      </w:r>
      <w:hyperlink r:id="rId17">
        <w:r w:rsidDel="00000000" w:rsidR="00000000" w:rsidRPr="00000000">
          <w:rPr>
            <w:rFonts w:ascii="Times New Roman" w:cs="Times New Roman" w:eastAsia="Times New Roman" w:hAnsi="Times New Roman"/>
            <w:i w:val="1"/>
            <w:iCs w:val="1"/>
            <w:color w:val="1155cc"/>
            <w:sz w:val="24"/>
            <w:szCs w:val="24"/>
            <w:u w:val="single"/>
            <w:rtl w:val="0"/>
          </w:rPr>
          <w:t xml:space="preserve">https://owasp.org/www-project-top-ten/</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C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PhysioNet. (2023). Neonatal Intensive Care Unit (NICU) vital signs dataset. Retrieved from </w:t>
      </w:r>
      <w:hyperlink r:id="rId18">
        <w:r w:rsidDel="00000000" w:rsidR="00000000" w:rsidRPr="00000000">
          <w:rPr>
            <w:rFonts w:ascii="Times New Roman" w:cs="Times New Roman" w:eastAsia="Times New Roman" w:hAnsi="Times New Roman"/>
            <w:i w:val="1"/>
            <w:iCs w:val="1"/>
            <w:color w:val="1155cc"/>
            <w:sz w:val="24"/>
            <w:szCs w:val="24"/>
            <w:u w:val="single"/>
            <w:rtl w:val="0"/>
          </w:rPr>
          <w:t xml:space="preserve">https://physionet.org/about/database/</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C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Republic of Türkiye, Personal Data Protection Authority (KVKK). (2016). 6698 sayılı Kişisel Verilerin Korunması Kanunu. Retrieved from </w:t>
      </w:r>
      <w:hyperlink r:id="rId19">
        <w:r w:rsidDel="00000000" w:rsidR="00000000" w:rsidRPr="00000000">
          <w:rPr>
            <w:rFonts w:ascii="Times New Roman" w:cs="Times New Roman" w:eastAsia="Times New Roman" w:hAnsi="Times New Roman"/>
            <w:i w:val="1"/>
            <w:iCs w:val="1"/>
            <w:color w:val="1155cc"/>
            <w:sz w:val="24"/>
            <w:szCs w:val="24"/>
            <w:u w:val="single"/>
            <w:rtl w:val="0"/>
          </w:rPr>
          <w:t xml:space="preserve">https://www.kvkk.gov.tr/Icerik/6649/Kisisel-Verilerin-Korunmasi-Kanunu</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C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TÜBİTAK BİLGEM. (2023). Yapay Zekâ Sistemleri Güvenilirlik Rehberi. Retrieved from </w:t>
      </w:r>
      <w:hyperlink r:id="rId20">
        <w:r w:rsidDel="00000000" w:rsidR="00000000" w:rsidRPr="00000000">
          <w:rPr>
            <w:rFonts w:ascii="Times New Roman" w:cs="Times New Roman" w:eastAsia="Times New Roman" w:hAnsi="Times New Roman"/>
            <w:i w:val="1"/>
            <w:iCs w:val="1"/>
            <w:color w:val="1155cc"/>
            <w:sz w:val="24"/>
            <w:szCs w:val="24"/>
            <w:u w:val="single"/>
            <w:rtl w:val="0"/>
          </w:rPr>
          <w:t xml:space="preserve">https://bilgem.tubitak.gov.tr</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D0">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 National Institutes of Health (NIH). (2020). Artificial Intelligence in Neonatal Intensive Care Units: Opportunities and Challenges. Retrieved from </w:t>
      </w:r>
      <w:hyperlink r:id="rId21">
        <w:r w:rsidDel="00000000" w:rsidR="00000000" w:rsidRPr="00000000">
          <w:rPr>
            <w:rFonts w:ascii="Times New Roman" w:cs="Times New Roman" w:eastAsia="Times New Roman" w:hAnsi="Times New Roman"/>
            <w:i w:val="1"/>
            <w:iCs w:val="1"/>
            <w:color w:val="1155cc"/>
            <w:sz w:val="24"/>
            <w:szCs w:val="24"/>
            <w:u w:val="single"/>
            <w:rtl w:val="0"/>
          </w:rPr>
          <w:t xml:space="preserve">https://www.ncbi.nlm.nih.gov/pmc/articles/PMC7484551/</w:t>
        </w:r>
      </w:hyperlink>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1D1">
      <w:pPr>
        <w:spacing w:after="240" w:before="240" w:lineRule="auto"/>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World Health Organization (WHO). (2018). Preterm birth — Key facts. Retrieved from</w:t>
      </w:r>
      <w:hyperlink r:id="rId22">
        <w:r w:rsidDel="00000000" w:rsidR="00000000" w:rsidRPr="00000000">
          <w:rPr>
            <w:rFonts w:ascii="Times New Roman" w:cs="Times New Roman" w:eastAsia="Times New Roman" w:hAnsi="Times New Roman"/>
            <w:i w:val="1"/>
            <w:iCs w:val="1"/>
            <w:sz w:val="24"/>
            <w:szCs w:val="24"/>
            <w:rtl w:val="0"/>
          </w:rPr>
          <w:t xml:space="preserve"> </w:t>
        </w:r>
      </w:hyperlink>
      <w:hyperlink r:id="rId23">
        <w:r w:rsidDel="00000000" w:rsidR="00000000" w:rsidRPr="00000000">
          <w:rPr>
            <w:rFonts w:ascii="Times New Roman" w:cs="Times New Roman" w:eastAsia="Times New Roman" w:hAnsi="Times New Roman"/>
            <w:i w:val="1"/>
            <w:iCs w:val="1"/>
            <w:color w:val="1155cc"/>
            <w:sz w:val="24"/>
            <w:szCs w:val="24"/>
            <w:u w:val="single"/>
            <w:rtl w:val="0"/>
          </w:rPr>
          <w:t xml:space="preserve">https://www.who.int/news-room/fact-sheets/detail/preterm-birth</w:t>
        </w:r>
      </w:hyperlink>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abstractNum w:abstractNumId="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3"/>
      <w:numFmt w:val="decimal"/>
      <w:lvlText w:val="%1"/>
      <w:lvlJc w:val="left"/>
      <w:pPr>
        <w:ind w:left="360" w:hanging="360"/>
      </w:pPr>
      <w:rPr/>
    </w:lvl>
    <w:lvl w:ilvl="1">
      <w:start w:val="6"/>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t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Balk7">
    <w:name w:val="heading 7"/>
    <w:basedOn w:val="Normal"/>
    <w:next w:val="Normal"/>
    <w:link w:val="Balk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Balk8">
    <w:name w:val="heading 8"/>
    <w:basedOn w:val="Normal"/>
    <w:next w:val="Normal"/>
    <w:link w:val="Balk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Balk9">
    <w:name w:val="heading 9"/>
    <w:basedOn w:val="Normal"/>
    <w:next w:val="Normal"/>
    <w:link w:val="Balk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stBilgiChar" w:customStyle="1">
    <w:name w:val="Üst Bilgi Char"/>
    <w:basedOn w:val="VarsaylanParagrafYazTipi"/>
    <w:link w:val="stBilgi"/>
    <w:uiPriority w:val="99"/>
    <w:qFormat w:val="1"/>
    <w:rsid w:val="00E618BF"/>
  </w:style>
  <w:style w:type="character" w:styleId="AltBilgiChar" w:customStyle="1">
    <w:name w:val="Alt Bilgi Char"/>
    <w:basedOn w:val="VarsaylanParagrafYazTipi"/>
    <w:link w:val="AltBilgi"/>
    <w:uiPriority w:val="99"/>
    <w:qFormat w:val="1"/>
    <w:rsid w:val="00E618BF"/>
  </w:style>
  <w:style w:type="character" w:styleId="Balk1Char" w:customStyle="1">
    <w:name w:val="Başlık 1 Char"/>
    <w:basedOn w:val="VarsaylanParagrafYazTipi"/>
    <w:link w:val="Balk1"/>
    <w:uiPriority w:val="9"/>
    <w:qFormat w:val="1"/>
    <w:rsid w:val="00FC693F"/>
    <w:rPr>
      <w:rFonts w:asciiTheme="majorHAnsi" w:cstheme="majorBidi" w:eastAsiaTheme="majorEastAsia" w:hAnsiTheme="majorHAnsi"/>
      <w:b w:val="1"/>
      <w:bCs w:val="1"/>
      <w:color w:val="365f91" w:themeColor="accent1" w:themeShade="0000BF"/>
      <w:sz w:val="28"/>
      <w:szCs w:val="28"/>
    </w:rPr>
  </w:style>
  <w:style w:type="character" w:styleId="Balk2Char" w:customStyle="1">
    <w:name w:val="Başlık 2 Char"/>
    <w:basedOn w:val="VarsaylanParagrafYazTipi"/>
    <w:link w:val="Balk2"/>
    <w:uiPriority w:val="9"/>
    <w:qFormat w:val="1"/>
    <w:rsid w:val="00FC693F"/>
    <w:rPr>
      <w:rFonts w:asciiTheme="majorHAnsi" w:cstheme="majorBidi" w:eastAsiaTheme="majorEastAsia" w:hAnsiTheme="majorHAnsi"/>
      <w:b w:val="1"/>
      <w:bCs w:val="1"/>
      <w:color w:val="4f81bd" w:themeColor="accent1"/>
      <w:sz w:val="26"/>
      <w:szCs w:val="26"/>
    </w:rPr>
  </w:style>
  <w:style w:type="character" w:styleId="Balk3Char" w:customStyle="1">
    <w:name w:val="Başlık 3 Char"/>
    <w:basedOn w:val="VarsaylanParagrafYazTipi"/>
    <w:link w:val="Balk3"/>
    <w:uiPriority w:val="9"/>
    <w:qFormat w:val="1"/>
    <w:rsid w:val="00FC693F"/>
    <w:rPr>
      <w:rFonts w:asciiTheme="majorHAnsi" w:cstheme="majorBidi" w:eastAsiaTheme="majorEastAsia" w:hAnsiTheme="majorHAnsi"/>
      <w:b w:val="1"/>
      <w:bCs w:val="1"/>
      <w:color w:val="4f81bd" w:themeColor="accent1"/>
    </w:rPr>
  </w:style>
  <w:style w:type="character" w:styleId="KonuBalChar" w:customStyle="1">
    <w:name w:val="Konu Başlığı Char"/>
    <w:basedOn w:val="VarsaylanParagrafYazTipi"/>
    <w:link w:val="KonuBal"/>
    <w:uiPriority w:val="10"/>
    <w:qFormat w:val="1"/>
    <w:rsid w:val="00FC693F"/>
    <w:rPr>
      <w:rFonts w:asciiTheme="majorHAnsi" w:cstheme="majorBidi" w:eastAsiaTheme="majorEastAsia" w:hAnsiTheme="majorHAnsi"/>
      <w:color w:val="17365d" w:themeColor="text2" w:themeShade="0000BF"/>
      <w:spacing w:val="5"/>
      <w:kern w:val="2"/>
      <w:sz w:val="52"/>
      <w:szCs w:val="52"/>
    </w:rPr>
  </w:style>
  <w:style w:type="character" w:styleId="AltyazChar" w:customStyle="1">
    <w:name w:val="Altyazı Char"/>
    <w:basedOn w:val="VarsaylanParagrafYazTipi"/>
    <w:link w:val="Altyaz"/>
    <w:uiPriority w:val="11"/>
    <w:qFormat w:val="1"/>
    <w:rsid w:val="00FC693F"/>
    <w:rPr>
      <w:rFonts w:asciiTheme="majorHAnsi" w:cstheme="majorBidi" w:eastAsiaTheme="majorEastAsia" w:hAnsiTheme="majorHAnsi"/>
      <w:i w:val="1"/>
      <w:iCs w:val="1"/>
      <w:color w:val="4f81bd" w:themeColor="accent1"/>
      <w:spacing w:val="15"/>
      <w:sz w:val="24"/>
      <w:szCs w:val="24"/>
    </w:rPr>
  </w:style>
  <w:style w:type="character" w:styleId="GvdeMetniChar" w:customStyle="1">
    <w:name w:val="Gövde Metni Char"/>
    <w:basedOn w:val="VarsaylanParagrafYazTipi"/>
    <w:link w:val="GvdeMetni"/>
    <w:uiPriority w:val="99"/>
    <w:qFormat w:val="1"/>
    <w:rsid w:val="00AA1D8D"/>
  </w:style>
  <w:style w:type="character" w:styleId="GvdeMetni2Char" w:customStyle="1">
    <w:name w:val="Gövde Metni 2 Char"/>
    <w:basedOn w:val="VarsaylanParagrafYazTipi"/>
    <w:link w:val="GvdeMetni2"/>
    <w:uiPriority w:val="99"/>
    <w:qFormat w:val="1"/>
    <w:rsid w:val="00AA1D8D"/>
  </w:style>
  <w:style w:type="character" w:styleId="GvdeMetni3Char" w:customStyle="1">
    <w:name w:val="Gövde Metni 3 Char"/>
    <w:basedOn w:val="VarsaylanParagrafYazTipi"/>
    <w:link w:val="GvdeMetni3"/>
    <w:uiPriority w:val="99"/>
    <w:qFormat w:val="1"/>
    <w:rsid w:val="00AA1D8D"/>
    <w:rPr>
      <w:sz w:val="16"/>
      <w:szCs w:val="16"/>
    </w:rPr>
  </w:style>
  <w:style w:type="character" w:styleId="MakroMetniChar" w:customStyle="1">
    <w:name w:val="Makro Metni Char"/>
    <w:basedOn w:val="VarsaylanParagrafYazTipi"/>
    <w:link w:val="MakroMetni"/>
    <w:uiPriority w:val="99"/>
    <w:qFormat w:val="1"/>
    <w:rsid w:val="0029639D"/>
    <w:rPr>
      <w:rFonts w:ascii="Courier" w:hAnsi="Courier"/>
      <w:sz w:val="20"/>
      <w:szCs w:val="20"/>
    </w:rPr>
  </w:style>
  <w:style w:type="character" w:styleId="AlntChar" w:customStyle="1">
    <w:name w:val="Alıntı Char"/>
    <w:basedOn w:val="VarsaylanParagrafYazTipi"/>
    <w:link w:val="Alnt"/>
    <w:uiPriority w:val="29"/>
    <w:qFormat w:val="1"/>
    <w:rsid w:val="00FC693F"/>
    <w:rPr>
      <w:i w:val="1"/>
      <w:iCs w:val="1"/>
      <w:color w:val="000000" w:themeColor="text1"/>
    </w:rPr>
  </w:style>
  <w:style w:type="character" w:styleId="Balk4Char" w:customStyle="1">
    <w:name w:val="Başlık 4 Char"/>
    <w:basedOn w:val="VarsaylanParagrafYazTipi"/>
    <w:link w:val="Balk4"/>
    <w:uiPriority w:val="9"/>
    <w:semiHidden w:val="1"/>
    <w:qFormat w:val="1"/>
    <w:rsid w:val="00FC693F"/>
    <w:rPr>
      <w:rFonts w:asciiTheme="majorHAnsi" w:cstheme="majorBidi" w:eastAsiaTheme="majorEastAsia" w:hAnsiTheme="majorHAnsi"/>
      <w:b w:val="1"/>
      <w:bCs w:val="1"/>
      <w:i w:val="1"/>
      <w:iCs w:val="1"/>
      <w:color w:val="4f81bd" w:themeColor="accent1"/>
    </w:rPr>
  </w:style>
  <w:style w:type="character" w:styleId="Balk5Char" w:customStyle="1">
    <w:name w:val="Başlık 5 Char"/>
    <w:basedOn w:val="VarsaylanParagrafYazTipi"/>
    <w:link w:val="Balk5"/>
    <w:uiPriority w:val="9"/>
    <w:semiHidden w:val="1"/>
    <w:qFormat w:val="1"/>
    <w:rsid w:val="00FC693F"/>
    <w:rPr>
      <w:rFonts w:asciiTheme="majorHAnsi" w:cstheme="majorBidi" w:eastAsiaTheme="majorEastAsia" w:hAnsiTheme="majorHAnsi"/>
      <w:color w:val="243f60" w:themeColor="accent1" w:themeShade="00007F"/>
    </w:rPr>
  </w:style>
  <w:style w:type="character" w:styleId="Balk6Char" w:customStyle="1">
    <w:name w:val="Başlık 6 Char"/>
    <w:basedOn w:val="VarsaylanParagrafYazTipi"/>
    <w:link w:val="Balk6"/>
    <w:uiPriority w:val="9"/>
    <w:semiHidden w:val="1"/>
    <w:qFormat w:val="1"/>
    <w:rsid w:val="00FC693F"/>
    <w:rPr>
      <w:rFonts w:asciiTheme="majorHAnsi" w:cstheme="majorBidi" w:eastAsiaTheme="majorEastAsia" w:hAnsiTheme="majorHAnsi"/>
      <w:i w:val="1"/>
      <w:iCs w:val="1"/>
      <w:color w:val="243f60" w:themeColor="accent1" w:themeShade="00007F"/>
    </w:rPr>
  </w:style>
  <w:style w:type="character" w:styleId="Balk7Char" w:customStyle="1">
    <w:name w:val="Başlık 7 Char"/>
    <w:basedOn w:val="VarsaylanParagrafYazTipi"/>
    <w:link w:val="Balk7"/>
    <w:uiPriority w:val="9"/>
    <w:semiHidden w:val="1"/>
    <w:qFormat w:val="1"/>
    <w:rsid w:val="00FC693F"/>
    <w:rPr>
      <w:rFonts w:asciiTheme="majorHAnsi" w:cstheme="majorBidi" w:eastAsiaTheme="majorEastAsia" w:hAnsiTheme="majorHAnsi"/>
      <w:i w:val="1"/>
      <w:iCs w:val="1"/>
      <w:color w:val="404040" w:themeColor="text1" w:themeTint="0000BF"/>
    </w:rPr>
  </w:style>
  <w:style w:type="character" w:styleId="Balk8Char" w:customStyle="1">
    <w:name w:val="Başlık 8 Char"/>
    <w:basedOn w:val="VarsaylanParagrafYazTipi"/>
    <w:link w:val="Balk8"/>
    <w:uiPriority w:val="9"/>
    <w:semiHidden w:val="1"/>
    <w:qFormat w:val="1"/>
    <w:rsid w:val="00FC693F"/>
    <w:rPr>
      <w:rFonts w:asciiTheme="majorHAnsi" w:cstheme="majorBidi" w:eastAsiaTheme="majorEastAsia" w:hAnsiTheme="majorHAnsi"/>
      <w:color w:val="4f81bd" w:themeColor="accent1"/>
      <w:sz w:val="20"/>
      <w:szCs w:val="20"/>
    </w:rPr>
  </w:style>
  <w:style w:type="character" w:styleId="Balk9Char" w:customStyle="1">
    <w:name w:val="Başlık 9 Char"/>
    <w:basedOn w:val="VarsaylanParagrafYazTipi"/>
    <w:link w:val="Balk9"/>
    <w:uiPriority w:val="9"/>
    <w:semiHidden w:val="1"/>
    <w:qFormat w:val="1"/>
    <w:rsid w:val="00FC693F"/>
    <w:rPr>
      <w:rFonts w:asciiTheme="majorHAnsi" w:cstheme="majorBidi" w:eastAsiaTheme="majorEastAsia" w:hAnsiTheme="majorHAnsi"/>
      <w:i w:val="1"/>
      <w:iCs w:val="1"/>
      <w:color w:val="404040" w:themeColor="text1" w:themeTint="0000BF"/>
      <w:sz w:val="20"/>
      <w:szCs w:val="20"/>
    </w:rPr>
  </w:style>
  <w:style w:type="character" w:styleId="Gl">
    <w:name w:val="Strong"/>
    <w:basedOn w:val="VarsaylanParagrafYazTipi"/>
    <w:uiPriority w:val="22"/>
    <w:qFormat w:val="1"/>
    <w:rsid w:val="00FC693F"/>
    <w:rPr>
      <w:b w:val="1"/>
      <w:bCs w:val="1"/>
    </w:rPr>
  </w:style>
  <w:style w:type="character" w:styleId="Vurgu">
    <w:name w:val="Emphasis"/>
    <w:basedOn w:val="VarsaylanParagrafYazTipi"/>
    <w:uiPriority w:val="20"/>
    <w:qFormat w:val="1"/>
    <w:rsid w:val="00FC693F"/>
    <w:rPr>
      <w:i w:val="1"/>
      <w:iCs w:val="1"/>
    </w:rPr>
  </w:style>
  <w:style w:type="character" w:styleId="GlAlntChar" w:customStyle="1">
    <w:name w:val="Güçlü Alıntı Char"/>
    <w:basedOn w:val="VarsaylanParagrafYazTipi"/>
    <w:link w:val="GlAlnt"/>
    <w:uiPriority w:val="30"/>
    <w:qFormat w:val="1"/>
    <w:rsid w:val="00FC693F"/>
    <w:rPr>
      <w:b w:val="1"/>
      <w:bCs w:val="1"/>
      <w:i w:val="1"/>
      <w:iCs w:val="1"/>
      <w:color w:val="4f81bd" w:themeColor="accent1"/>
    </w:rPr>
  </w:style>
  <w:style w:type="character" w:styleId="HafifVurgulama">
    <w:name w:val="Subtle Emphasis"/>
    <w:basedOn w:val="VarsaylanParagrafYazTipi"/>
    <w:uiPriority w:val="19"/>
    <w:qFormat w:val="1"/>
    <w:rsid w:val="00FC693F"/>
    <w:rPr>
      <w:i w:val="1"/>
      <w:iCs w:val="1"/>
      <w:color w:val="808080" w:themeColor="text1" w:themeTint="00007F"/>
    </w:rPr>
  </w:style>
  <w:style w:type="character" w:styleId="GlVurgulama">
    <w:name w:val="Intense Emphasis"/>
    <w:basedOn w:val="VarsaylanParagrafYazTipi"/>
    <w:uiPriority w:val="21"/>
    <w:qFormat w:val="1"/>
    <w:rsid w:val="00FC693F"/>
    <w:rPr>
      <w:b w:val="1"/>
      <w:bCs w:val="1"/>
      <w:i w:val="1"/>
      <w:iCs w:val="1"/>
      <w:color w:val="4f81bd" w:themeColor="accent1"/>
    </w:rPr>
  </w:style>
  <w:style w:type="character" w:styleId="HafifBavuru">
    <w:name w:val="Subtle Reference"/>
    <w:basedOn w:val="VarsaylanParagrafYazTipi"/>
    <w:uiPriority w:val="31"/>
    <w:qFormat w:val="1"/>
    <w:rsid w:val="00FC693F"/>
    <w:rPr>
      <w:smallCaps w:val="1"/>
      <w:color w:val="c0504d" w:themeColor="accent2"/>
      <w:u w:val="single"/>
    </w:rPr>
  </w:style>
  <w:style w:type="character" w:styleId="GlBavuru">
    <w:name w:val="Intense Reference"/>
    <w:basedOn w:val="VarsaylanParagrafYazTipi"/>
    <w:uiPriority w:val="32"/>
    <w:qFormat w:val="1"/>
    <w:rsid w:val="00FC693F"/>
    <w:rPr>
      <w:b w:val="1"/>
      <w:bCs w:val="1"/>
      <w:smallCaps w:val="1"/>
      <w:color w:val="c0504d" w:themeColor="accent2"/>
      <w:spacing w:val="5"/>
      <w:u w:val="single"/>
    </w:rPr>
  </w:style>
  <w:style w:type="character" w:styleId="KitapBal">
    <w:name w:val="Book Title"/>
    <w:basedOn w:val="VarsaylanParagrafYazTipi"/>
    <w:uiPriority w:val="33"/>
    <w:qFormat w:val="1"/>
    <w:rsid w:val="00FC693F"/>
    <w:rPr>
      <w:b w:val="1"/>
      <w:bCs w:val="1"/>
      <w:smallCaps w:val="1"/>
      <w:spacing w:val="5"/>
    </w:rPr>
  </w:style>
  <w:style w:type="character" w:styleId="Kpr">
    <w:name w:val="Hyperlink"/>
    <w:rPr>
      <w:color w:val="000080"/>
      <w:u w:val="single"/>
    </w:rPr>
  </w:style>
  <w:style w:type="paragraph" w:styleId="Heading" w:customStyle="1">
    <w:name w:val="Heading"/>
    <w:basedOn w:val="Normal"/>
    <w:next w:val="GvdeMetni"/>
    <w:qFormat w:val="1"/>
    <w:pPr>
      <w:keepNext w:val="1"/>
      <w:spacing w:after="120" w:before="240"/>
    </w:pPr>
    <w:rPr>
      <w:rFonts w:ascii="Liberation Sans" w:cs="Arial" w:eastAsia="Microsoft YaHei" w:hAnsi="Liberation Sans"/>
      <w:sz w:val="28"/>
      <w:szCs w:val="28"/>
    </w:rPr>
  </w:style>
  <w:style w:type="paragraph" w:styleId="GvdeMetni">
    <w:name w:val="Body Text"/>
    <w:basedOn w:val="Normal"/>
    <w:link w:val="GvdeMetniChar"/>
    <w:uiPriority w:val="99"/>
    <w:unhideWhenUsed w:val="1"/>
    <w:rsid w:val="00AA1D8D"/>
    <w:pPr>
      <w:spacing w:after="120"/>
    </w:pPr>
  </w:style>
  <w:style w:type="paragraph" w:styleId="Liste">
    <w:name w:val="List"/>
    <w:basedOn w:val="Normal"/>
    <w:uiPriority w:val="99"/>
    <w:unhideWhenUsed w:val="1"/>
    <w:rsid w:val="00AA1D8D"/>
    <w:pPr>
      <w:ind w:left="360" w:hanging="360"/>
      <w:contextualSpacing w:val="1"/>
    </w:pPr>
  </w:style>
  <w:style w:type="paragraph" w:styleId="ResimYazs">
    <w:name w:val="caption"/>
    <w:basedOn w:val="Normal"/>
    <w:qFormat w:val="1"/>
    <w:pPr>
      <w:suppressLineNumbers w:val="1"/>
      <w:spacing w:after="120" w:before="120"/>
    </w:pPr>
    <w:rPr>
      <w:rFonts w:cs="Arial"/>
      <w:i w:val="1"/>
      <w:iCs w:val="1"/>
      <w:sz w:val="24"/>
      <w:szCs w:val="24"/>
    </w:rPr>
  </w:style>
  <w:style w:type="paragraph" w:styleId="Index" w:customStyle="1">
    <w:name w:val="Index"/>
    <w:basedOn w:val="Normal"/>
    <w:qFormat w:val="1"/>
    <w:pPr>
      <w:suppressLineNumbers w:val="1"/>
    </w:pPr>
    <w:rPr>
      <w:rFonts w:cs="Arial"/>
    </w:rPr>
  </w:style>
  <w:style w:type="paragraph" w:styleId="HeaderandFooter" w:customStyle="1">
    <w:name w:val="Header and Footer"/>
    <w:basedOn w:val="Normal"/>
    <w:qFormat w:val="1"/>
  </w:style>
  <w:style w:type="paragraph" w:styleId="stBilgi">
    <w:name w:val="header"/>
    <w:basedOn w:val="Normal"/>
    <w:link w:val="stBilgiChar"/>
    <w:uiPriority w:val="99"/>
    <w:unhideWhenUsed w:val="1"/>
    <w:rsid w:val="00E618BF"/>
    <w:pPr>
      <w:tabs>
        <w:tab w:val="center" w:pos="4680"/>
        <w:tab w:val="right" w:pos="9360"/>
      </w:tabs>
      <w:spacing w:after="0" w:line="240" w:lineRule="auto"/>
    </w:pPr>
  </w:style>
  <w:style w:type="paragraph" w:styleId="AltBilgi">
    <w:name w:val="footer"/>
    <w:basedOn w:val="Normal"/>
    <w:link w:val="AltBilgiChar"/>
    <w:uiPriority w:val="99"/>
    <w:unhideWhenUsed w:val="1"/>
    <w:rsid w:val="00E618BF"/>
    <w:pPr>
      <w:tabs>
        <w:tab w:val="center" w:pos="4680"/>
        <w:tab w:val="right" w:pos="9360"/>
      </w:tabs>
      <w:spacing w:after="0" w:line="240" w:lineRule="auto"/>
    </w:pPr>
  </w:style>
  <w:style w:type="paragraph" w:styleId="AralkYok">
    <w:name w:val="No Spacing"/>
    <w:uiPriority w:val="1"/>
    <w:qFormat w:val="1"/>
    <w:rsid w:val="00FC693F"/>
    <w:pPr>
      <w:suppressAutoHyphens w:val="1"/>
      <w:spacing w:after="0" w:line="240" w:lineRule="auto"/>
    </w:pPr>
    <w:rPr>
      <w:rFonts w:asciiTheme="minorHAnsi" w:cstheme="minorBidi" w:eastAsiaTheme="minorEastAsia" w:hAnsiTheme="minorHAnsi"/>
      <w:lang w:eastAsia="en-US" w:val="en-US"/>
    </w:rPr>
  </w:style>
  <w:style w:type="paragraph" w:styleId="ListeParagraf">
    <w:name w:val="List Paragraph"/>
    <w:basedOn w:val="Normal"/>
    <w:uiPriority w:val="34"/>
    <w:qFormat w:val="1"/>
    <w:rsid w:val="00FC693F"/>
    <w:pPr>
      <w:ind w:left="720"/>
      <w:contextualSpacing w:val="1"/>
    </w:pPr>
  </w:style>
  <w:style w:type="paragraph" w:styleId="GvdeMetni2">
    <w:name w:val="Body Text 2"/>
    <w:basedOn w:val="Normal"/>
    <w:link w:val="GvdeMetni2Char"/>
    <w:uiPriority w:val="99"/>
    <w:unhideWhenUsed w:val="1"/>
    <w:qFormat w:val="1"/>
    <w:rsid w:val="00AA1D8D"/>
    <w:pPr>
      <w:spacing w:after="120" w:line="480" w:lineRule="auto"/>
    </w:pPr>
  </w:style>
  <w:style w:type="paragraph" w:styleId="GvdeMetni3">
    <w:name w:val="Body Text 3"/>
    <w:basedOn w:val="Normal"/>
    <w:link w:val="GvdeMetni3Char"/>
    <w:uiPriority w:val="99"/>
    <w:unhideWhenUsed w:val="1"/>
    <w:qFormat w:val="1"/>
    <w:rsid w:val="00AA1D8D"/>
    <w:pPr>
      <w:spacing w:after="120"/>
    </w:pPr>
    <w:rPr>
      <w:sz w:val="16"/>
      <w:szCs w:val="16"/>
    </w:rPr>
  </w:style>
  <w:style w:type="paragraph" w:styleId="Liste2">
    <w:name w:val="List 2"/>
    <w:basedOn w:val="Normal"/>
    <w:uiPriority w:val="99"/>
    <w:unhideWhenUsed w:val="1"/>
    <w:qFormat w:val="1"/>
    <w:rsid w:val="00326F90"/>
    <w:pPr>
      <w:ind w:left="720" w:hanging="360"/>
      <w:contextualSpacing w:val="1"/>
    </w:pPr>
  </w:style>
  <w:style w:type="paragraph" w:styleId="Liste3">
    <w:name w:val="List 3"/>
    <w:basedOn w:val="Normal"/>
    <w:uiPriority w:val="99"/>
    <w:unhideWhenUsed w:val="1"/>
    <w:qFormat w:val="1"/>
    <w:rsid w:val="00326F90"/>
    <w:pPr>
      <w:ind w:left="1080" w:hanging="360"/>
      <w:contextualSpacing w:val="1"/>
    </w:pPr>
  </w:style>
  <w:style w:type="paragraph" w:styleId="ListeMaddemi">
    <w:name w:val="List Bullet"/>
    <w:basedOn w:val="Normal"/>
    <w:uiPriority w:val="99"/>
    <w:unhideWhenUsed w:val="1"/>
    <w:rsid w:val="00326F90"/>
    <w:pPr>
      <w:numPr>
        <w:numId w:val="1"/>
      </w:numPr>
      <w:contextualSpacing w:val="1"/>
    </w:pPr>
  </w:style>
  <w:style w:type="paragraph" w:styleId="ListeMaddemi2">
    <w:name w:val="List Bullet 2"/>
    <w:basedOn w:val="Normal"/>
    <w:uiPriority w:val="99"/>
    <w:unhideWhenUsed w:val="1"/>
    <w:rsid w:val="00326F90"/>
    <w:pPr>
      <w:tabs>
        <w:tab w:val="num" w:pos="720"/>
      </w:tabs>
      <w:ind w:left="720" w:hanging="720"/>
      <w:contextualSpacing w:val="1"/>
    </w:pPr>
  </w:style>
  <w:style w:type="paragraph" w:styleId="ListeMaddemi3">
    <w:name w:val="List Bullet 3"/>
    <w:basedOn w:val="Normal"/>
    <w:uiPriority w:val="99"/>
    <w:unhideWhenUsed w:val="1"/>
    <w:rsid w:val="00326F90"/>
    <w:pPr>
      <w:tabs>
        <w:tab w:val="num" w:pos="720"/>
      </w:tabs>
      <w:ind w:left="720" w:hanging="720"/>
      <w:contextualSpacing w:val="1"/>
    </w:pPr>
  </w:style>
  <w:style w:type="paragraph" w:styleId="ListeNumaras">
    <w:name w:val="List Number"/>
    <w:basedOn w:val="Normal"/>
    <w:uiPriority w:val="99"/>
    <w:unhideWhenUsed w:val="1"/>
    <w:rsid w:val="00326F90"/>
    <w:pPr>
      <w:tabs>
        <w:tab w:val="num" w:pos="720"/>
      </w:tabs>
      <w:ind w:left="720" w:hanging="720"/>
      <w:contextualSpacing w:val="1"/>
    </w:pPr>
  </w:style>
  <w:style w:type="paragraph" w:styleId="ListeNumaras2">
    <w:name w:val="List Number 2"/>
    <w:basedOn w:val="Normal"/>
    <w:uiPriority w:val="99"/>
    <w:unhideWhenUsed w:val="1"/>
    <w:rsid w:val="0029639D"/>
    <w:pPr>
      <w:tabs>
        <w:tab w:val="num" w:pos="720"/>
      </w:tabs>
      <w:ind w:left="720" w:hanging="720"/>
      <w:contextualSpacing w:val="1"/>
    </w:pPr>
  </w:style>
  <w:style w:type="paragraph" w:styleId="ListeNumaras3">
    <w:name w:val="List Number 3"/>
    <w:basedOn w:val="Normal"/>
    <w:uiPriority w:val="99"/>
    <w:unhideWhenUsed w:val="1"/>
    <w:rsid w:val="0029639D"/>
    <w:pPr>
      <w:tabs>
        <w:tab w:val="num" w:pos="720"/>
      </w:tabs>
      <w:ind w:left="720" w:hanging="720"/>
      <w:contextualSpacing w:val="1"/>
    </w:pPr>
  </w:style>
  <w:style w:type="paragraph" w:styleId="ListeDevam">
    <w:name w:val="List Continue"/>
    <w:basedOn w:val="Normal"/>
    <w:uiPriority w:val="99"/>
    <w:unhideWhenUsed w:val="1"/>
    <w:rsid w:val="0029639D"/>
    <w:pPr>
      <w:spacing w:after="120"/>
      <w:ind w:left="360"/>
      <w:contextualSpacing w:val="1"/>
    </w:pPr>
  </w:style>
  <w:style w:type="paragraph" w:styleId="ListeDevam2">
    <w:name w:val="List Continue 2"/>
    <w:basedOn w:val="Normal"/>
    <w:uiPriority w:val="99"/>
    <w:unhideWhenUsed w:val="1"/>
    <w:rsid w:val="0029639D"/>
    <w:pPr>
      <w:spacing w:after="120"/>
      <w:ind w:left="720"/>
      <w:contextualSpacing w:val="1"/>
    </w:pPr>
  </w:style>
  <w:style w:type="paragraph" w:styleId="ListeDevam3">
    <w:name w:val="List Continue 3"/>
    <w:basedOn w:val="Normal"/>
    <w:uiPriority w:val="99"/>
    <w:unhideWhenUsed w:val="1"/>
    <w:rsid w:val="0029639D"/>
    <w:pPr>
      <w:spacing w:after="120"/>
      <w:ind w:left="1080"/>
      <w:contextualSpacing w:val="1"/>
    </w:pPr>
  </w:style>
  <w:style w:type="paragraph" w:styleId="MakroMetni">
    <w:name w:val="macro"/>
    <w:link w:val="MakroMetniChar"/>
    <w:uiPriority w:val="99"/>
    <w:unhideWhenUsed w:val="1"/>
    <w:qFormat w:val="1"/>
    <w:rsid w:val="0029639D"/>
    <w:pPr>
      <w:tabs>
        <w:tab w:val="left" w:pos="576"/>
        <w:tab w:val="left" w:pos="1152"/>
        <w:tab w:val="left" w:pos="1728"/>
        <w:tab w:val="left" w:pos="2304"/>
        <w:tab w:val="left" w:pos="2880"/>
        <w:tab w:val="left" w:pos="3456"/>
        <w:tab w:val="left" w:pos="4032"/>
      </w:tabs>
      <w:suppressAutoHyphens w:val="1"/>
    </w:pPr>
    <w:rPr>
      <w:rFonts w:ascii="Courier" w:hAnsi="Courier" w:cstheme="minorBidi" w:eastAsiaTheme="minorEastAsia"/>
      <w:sz w:val="20"/>
      <w:szCs w:val="20"/>
      <w:lang w:eastAsia="en-US" w:val="en-US"/>
    </w:rPr>
  </w:style>
  <w:style w:type="paragraph" w:styleId="Alnt">
    <w:name w:val="Quote"/>
    <w:basedOn w:val="Normal"/>
    <w:next w:val="Normal"/>
    <w:link w:val="AlntChar"/>
    <w:uiPriority w:val="29"/>
    <w:qFormat w:val="1"/>
    <w:rsid w:val="00FC693F"/>
    <w:rPr>
      <w:i w:val="1"/>
      <w:iCs w:val="1"/>
      <w:color w:val="000000" w:themeColor="text1"/>
    </w:rPr>
  </w:style>
  <w:style w:type="paragraph" w:styleId="caption1" w:customStyle="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GlAlnt">
    <w:name w:val="Intense Quote"/>
    <w:basedOn w:val="Normal"/>
    <w:next w:val="Normal"/>
    <w:link w:val="GlAln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DizinBal">
    <w:name w:val="index heading"/>
    <w:basedOn w:val="Heading"/>
  </w:style>
  <w:style w:type="paragraph" w:styleId="TBal">
    <w:name w:val="TOC Heading"/>
    <w:basedOn w:val="Balk1"/>
    <w:next w:val="Normal"/>
    <w:uiPriority w:val="39"/>
    <w:semiHidden w:val="1"/>
    <w:unhideWhenUsed w:val="1"/>
    <w:qFormat w:val="1"/>
    <w:rsid w:val="00FC693F"/>
    <w:pPr>
      <w:outlineLvl w:val="9"/>
    </w:pPr>
  </w:style>
  <w:style w:type="table" w:styleId="TabloKlavuzu">
    <w:name w:val="Table Grid"/>
    <w:basedOn w:val="NormalTablo"/>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kGlgeleme">
    <w:name w:val="Light Shading"/>
    <w:basedOn w:val="NormalTablo"/>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AkGlgeleme-Vurgu1">
    <w:name w:val="Light Shading Accent 1"/>
    <w:basedOn w:val="NormalTablo"/>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AkGlgeleme-Vurgu2">
    <w:name w:val="Light Shading Accent 2"/>
    <w:basedOn w:val="NormalTablo"/>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AkGlgeleme-Vurgu3">
    <w:name w:val="Light Shading Accent 3"/>
    <w:basedOn w:val="NormalTablo"/>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AkGlgeleme-Vurgu4">
    <w:name w:val="Light Shading Accent 4"/>
    <w:basedOn w:val="NormalTablo"/>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AkGlgeleme-Vurgu5">
    <w:name w:val="Light Shading Accent 5"/>
    <w:basedOn w:val="NormalTablo"/>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AkGlgeleme-Vurgu6">
    <w:name w:val="Light Shading Accent 6"/>
    <w:basedOn w:val="NormalTablo"/>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kListe">
    <w:name w:val="Light List"/>
    <w:basedOn w:val="NormalTablo"/>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000000" w:space="0" w:sz="8" w:themeColor="text1" w:val="single"/>
          <w:left w:color="000000" w:space="0" w:sz="8" w:themeColor="text1" w:val="single"/>
          <w:bottom w:color="000000" w:space="0" w:sz="8" w:themeColor="text1" w:val="single"/>
          <w:right w:color="00000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OrtaListe2">
    <w:name w:val="Medium List 2"/>
    <w:basedOn w:val="NormalTablo"/>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2-Vurgu1">
    <w:name w:val="Medium List 2 Accent 1"/>
    <w:basedOn w:val="NormalTablo"/>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2">
    <w:name w:val="Medium List 2 Accent 2"/>
    <w:basedOn w:val="NormalTablo"/>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3">
    <w:name w:val="Medium List 2 Accent 3"/>
    <w:basedOn w:val="NormalTablo"/>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4">
    <w:name w:val="Medium List 2 Accent 4"/>
    <w:basedOn w:val="NormalTablo"/>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5">
    <w:name w:val="Medium List 2 Accent 5"/>
    <w:basedOn w:val="NormalTablo"/>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6">
    <w:name w:val="Medium List 2 Accent 6"/>
    <w:basedOn w:val="NormalTablo"/>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000000" w:space="0" w:sz="18" w:themeColor="text1"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4f81bd" w:space="0" w:sz="18" w:themeColor="accent1"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0504d" w:space="0" w:sz="18" w:themeColor="accent2"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9bbb59" w:space="0" w:sz="18" w:themeColor="accent3"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8064a2" w:space="0" w:sz="18" w:themeColor="accent4"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4bacc6" w:space="0" w:sz="18" w:themeColor="accent5"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79646" w:space="0" w:sz="18" w:themeColor="accent6"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OrtaKlavuz2">
    <w:name w:val="Medium Grid 2"/>
    <w:basedOn w:val="NormalTablo"/>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OrtaKlavuz2-Vurgu1">
    <w:name w:val="Medium Grid 2 Accent 1"/>
    <w:basedOn w:val="NormalTablo"/>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OrtaKlavuz2-Vurgu2">
    <w:name w:val="Medium Grid 2 Accent 2"/>
    <w:basedOn w:val="NormalTablo"/>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OrtaKlavuz2-Vurgu3">
    <w:name w:val="Medium Grid 2 Accent 3"/>
    <w:basedOn w:val="NormalTablo"/>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OrtaKlavuz2-Vurgu4">
    <w:name w:val="Medium Grid 2 Accent 4"/>
    <w:basedOn w:val="NormalTablo"/>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OrtaKlavuz2-Vurgu5">
    <w:name w:val="Medium Grid 2 Accent 5"/>
    <w:basedOn w:val="NormalTablo"/>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OrtaKlavuz2-Vurgu6">
    <w:name w:val="Medium Grid 2 Accent 6"/>
    <w:basedOn w:val="NormalTablo"/>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4f81bd"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c0504d"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9bbb59"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8064a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4bacc6"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f79646"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NormalTablo"/>
    <w:pPr>
      <w:spacing w:after="0" w:line="240" w:lineRule="auto"/>
    </w:pPr>
    <w:tblPr>
      <w:tblStyleRowBandSize w:val="1"/>
      <w:tblStyleColBandSize w:val="1"/>
    </w:tblPr>
  </w:style>
  <w:style w:type="table" w:styleId="a0" w:customStyle="1">
    <w:basedOn w:val="NormalTablo"/>
    <w:pPr>
      <w:spacing w:after="0" w:line="240" w:lineRule="auto"/>
    </w:pPr>
    <w:tblPr>
      <w:tblStyleRowBandSize w:val="1"/>
      <w:tblStyleColBandSize w:val="1"/>
    </w:tblPr>
  </w:style>
  <w:style w:type="character" w:styleId="AklamaBavurusu">
    <w:name w:val="annotation reference"/>
    <w:basedOn w:val="VarsaylanParagrafYazTipi"/>
    <w:uiPriority w:val="99"/>
    <w:semiHidden w:val="1"/>
    <w:unhideWhenUsed w:val="1"/>
    <w:rsid w:val="00497916"/>
    <w:rPr>
      <w:sz w:val="16"/>
      <w:szCs w:val="16"/>
    </w:rPr>
  </w:style>
  <w:style w:type="paragraph" w:styleId="AklamaMetni">
    <w:name w:val="annotation text"/>
    <w:basedOn w:val="Normal"/>
    <w:link w:val="AklamaMetniChar"/>
    <w:uiPriority w:val="99"/>
    <w:unhideWhenUsed w:val="1"/>
    <w:rsid w:val="00497916"/>
    <w:pPr>
      <w:spacing w:line="240" w:lineRule="auto"/>
    </w:pPr>
    <w:rPr>
      <w:sz w:val="20"/>
      <w:szCs w:val="20"/>
    </w:rPr>
  </w:style>
  <w:style w:type="character" w:styleId="AklamaMetniChar" w:customStyle="1">
    <w:name w:val="Açıklama Metni Char"/>
    <w:basedOn w:val="VarsaylanParagrafYazTipi"/>
    <w:link w:val="AklamaMetni"/>
    <w:uiPriority w:val="99"/>
    <w:rsid w:val="00497916"/>
    <w:rPr>
      <w:sz w:val="20"/>
      <w:szCs w:val="20"/>
    </w:rPr>
  </w:style>
  <w:style w:type="paragraph" w:styleId="AklamaKonusu">
    <w:name w:val="annotation subject"/>
    <w:basedOn w:val="AklamaMetni"/>
    <w:next w:val="AklamaMetni"/>
    <w:link w:val="AklamaKonusuChar"/>
    <w:uiPriority w:val="99"/>
    <w:semiHidden w:val="1"/>
    <w:unhideWhenUsed w:val="1"/>
    <w:rsid w:val="00497916"/>
    <w:rPr>
      <w:b w:val="1"/>
      <w:bCs w:val="1"/>
    </w:rPr>
  </w:style>
  <w:style w:type="character" w:styleId="AklamaKonusuChar" w:customStyle="1">
    <w:name w:val="Açıklama Konusu Char"/>
    <w:basedOn w:val="AklamaMetniChar"/>
    <w:link w:val="AklamaKonusu"/>
    <w:uiPriority w:val="99"/>
    <w:semiHidden w:val="1"/>
    <w:rsid w:val="00497916"/>
    <w:rPr>
      <w:b w:val="1"/>
      <w:bCs w:val="1"/>
      <w:sz w:val="20"/>
      <w:szCs w:val="2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lgem.tubitak.gov.tr" TargetMode="External"/><Relationship Id="rId11" Type="http://schemas.openxmlformats.org/officeDocument/2006/relationships/hyperlink" Target="https://physionet.org/content/" TargetMode="External"/><Relationship Id="rId22" Type="http://schemas.openxmlformats.org/officeDocument/2006/relationships/hyperlink" Target="https://www.who.int/news-room/fact-sheets/detail/preterm-birth" TargetMode="External"/><Relationship Id="rId10" Type="http://schemas.openxmlformats.org/officeDocument/2006/relationships/hyperlink" Target="https://physionet.org/content/" TargetMode="External"/><Relationship Id="rId21" Type="http://schemas.openxmlformats.org/officeDocument/2006/relationships/hyperlink" Target="https://www.ncbi.nlm.nih.gov/pmc/articles/PMC7484551/" TargetMode="External"/><Relationship Id="rId13" Type="http://schemas.openxmlformats.org/officeDocument/2006/relationships/hyperlink" Target="https://www.iso.org/standard/35733.html" TargetMode="External"/><Relationship Id="rId12" Type="http://schemas.openxmlformats.org/officeDocument/2006/relationships/hyperlink" Target="https://webstore.iec.ch/publication/22786" TargetMode="External"/><Relationship Id="rId23" Type="http://schemas.openxmlformats.org/officeDocument/2006/relationships/hyperlink" Target="https://www.who.int/news-room/fact-sheets/detail/preterm-bir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vaduWG50F6i655-DW3G7gZVao6p0lcz/edit?usp=sharing&amp;ouid=108700557094367383127&amp;rtpof=true&amp;sd=true" TargetMode="External"/><Relationship Id="rId15" Type="http://schemas.openxmlformats.org/officeDocument/2006/relationships/hyperlink" Target="https://www.iso.org/standard/82875.html" TargetMode="External"/><Relationship Id="rId14" Type="http://schemas.openxmlformats.org/officeDocument/2006/relationships/hyperlink" Target="https://www.iso.org/standard/68383.html" TargetMode="External"/><Relationship Id="rId17" Type="http://schemas.openxmlformats.org/officeDocument/2006/relationships/hyperlink" Target="https://owasp.org/www-project-top-ten/" TargetMode="External"/><Relationship Id="rId16" Type="http://schemas.openxmlformats.org/officeDocument/2006/relationships/hyperlink" Target="https://www.iso.org/standard/72089.html" TargetMode="External"/><Relationship Id="rId5" Type="http://schemas.openxmlformats.org/officeDocument/2006/relationships/styles" Target="styles.xml"/><Relationship Id="rId19" Type="http://schemas.openxmlformats.org/officeDocument/2006/relationships/hyperlink" Target="https://www.kvkk.gov.tr/Icerik/6649/Kisisel-Verilerin-Korunmasi-Kanunu" TargetMode="External"/><Relationship Id="rId6" Type="http://schemas.openxmlformats.org/officeDocument/2006/relationships/customXml" Target="../customXML/item1.xml"/><Relationship Id="rId18" Type="http://schemas.openxmlformats.org/officeDocument/2006/relationships/hyperlink" Target="https://physionet.org/about/database/" TargetMode="External"/><Relationship Id="rId7" Type="http://schemas.openxmlformats.org/officeDocument/2006/relationships/image" Target="media/image1.png"/><Relationship Id="rId8" Type="http://schemas.openxmlformats.org/officeDocument/2006/relationships/hyperlink" Target="https://docs.google.com/document/d/1hbv4x8GEEf3CDCwbx0djJnJPweZG8dzP/edit?usp=sharing&amp;ouid=108700557094367383127&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yAEBOHSmEl69uldRkCziiLPIp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kCgIxMhIeChwIB0IYCg9UaW1lcyBOZXcgUm9tYW4SBUNhcmRvGiYKAjEzEiAKHggHQhoKD1RpbWVzIE5ldyBSb21hbhIHR3VuZ3N1aBomCgIxNBIgCh4IB0IaCg9UaW1lcyBOZXcgUm9tYW4SB0d1bmdzdWgyD2lkLmk4cndwYmgxamczMjIMaC54enI3ZjJwOGo4Mg1oLmEzazB6Mzh5OWwxMg5oLmhrMXVsdnh2ZTRkNDIOaC52cmUxcmJ0dDc0d3UyDmguNmI2dXFkczVwYWprMg5oLmR4emhuajNxOXVoczIOaC5uZmpvY3gzMXl2bDcyDmguM2p2M3AycDFpOGg4Mg5oLmp4MTV4dWduY3FscTIOaC5xdWlha2U0ODJjdm4yDWguaTh2eHdhenY5OGEyDmguYTZxdmFqbmxrODg5OAByITFHWGpxS1l0RjNxNmpNOEMybjJKZVhZLUtiWmluWEpC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