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473835" cy="4076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3835" cy="407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  <w:bookmarkStart w:colFirst="0" w:colLast="0" w:name="bookmark=id.3am5z3g7rbro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TOBB ETU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Economy &amp; Technology University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BIL 495 / YAP 495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 Management Plan (PMP)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1058 / ISO/IEC 12207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31227260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1. Project 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2. Organization and Roles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3. Project Schedule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4. Budget and Resources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5. Risk Management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6. Quality Assurance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h.nadd8kpsn3f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7. Appendix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after="0" w:before="60" w:line="240" w:lineRule="auto"/>
            <w:rPr>
              <w:rFonts w:ascii="Times New Roman" w:cs="Times New Roman" w:eastAsia="Times New Roman" w:hAnsi="Times New Roman"/>
              <w:color w:val="1155cc"/>
              <w:sz w:val="24"/>
              <w:szCs w:val="24"/>
              <w:u w:val="single"/>
            </w:rPr>
          </w:pPr>
          <w:hyperlink w:anchor="_heading=h.nu6m8pvz6nz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1155cc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8. References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Project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project focuses on the design and development of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NICU (Neonatal Intensive Care Unit) Clinical Dashboard intended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educational and prototype-level use. The system aims to support healthcare staff by providing a centralized, visual, and structured overview of newborn patient data collected in a neonatal unit. The dashboard is not intended for real clinical deployment but for demonstrating system design, data integration, and project management principles within a medical context.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jrqmbtclkdey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Project Goals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main goals of the project are: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design a centralized dashboard that visualizes key NICU-related clinical parameters.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improve situational awareness and data accessibility through clear visual representations.</w:t>
      </w:r>
    </w:p>
    <w:p w:rsidR="00000000" w:rsidDel="00000000" w:rsidP="00000000" w:rsidRDefault="00000000" w:rsidRPr="00000000" w14:paraId="0000003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demonstrate the application of software engineering and project management practices in a medical domain.</w:t>
      </w:r>
    </w:p>
    <w:p w:rsidR="00000000" w:rsidDel="00000000" w:rsidP="00000000" w:rsidRDefault="00000000" w:rsidRPr="00000000" w14:paraId="0000003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ensure that ethical, safety, and quality considerations relevant to healthcare systems are addressed at a conceptual level.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qvwo5hytfd15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Deliverables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Management Plan (PMP)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requirements specification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 system design and architecture documentation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Prototype implementation of the clinical dashboard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and evaluation reports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 project report and presentation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u3g2042hy9dz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Stakeholders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Course instructors and project evaluators</w:t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team members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Healthcare professionals (as conceptual end-users)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TOBB ETU academic program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 Organization and Roles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emm72f45v7j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Project Team Structure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project is carried out by a student project team under academic supervision. The members are: Şevval Neva Varol, Sacide Sena Filiz, Merve İçkilli, İrem Onaran.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clrz897an5rx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Roles and Responsibilities</w:t>
      </w:r>
    </w:p>
    <w:p w:rsidR="00000000" w:rsidDel="00000000" w:rsidP="00000000" w:rsidRDefault="00000000" w:rsidRPr="00000000" w14:paraId="0000004F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 Manager (Şevval Neva Varol)</w:t>
      </w:r>
    </w:p>
    <w:p w:rsidR="00000000" w:rsidDel="00000000" w:rsidP="00000000" w:rsidRDefault="00000000" w:rsidRPr="00000000" w14:paraId="0000005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Planning and monitoring project activities</w:t>
      </w:r>
    </w:p>
    <w:p w:rsidR="00000000" w:rsidDel="00000000" w:rsidP="00000000" w:rsidRDefault="00000000" w:rsidRPr="00000000" w14:paraId="0000005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Managing schedule, risks, and documentation</w:t>
      </w:r>
    </w:p>
    <w:p w:rsidR="00000000" w:rsidDel="00000000" w:rsidP="00000000" w:rsidRDefault="00000000" w:rsidRPr="00000000" w14:paraId="00000052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Coordinating communication within the team</w:t>
      </w:r>
    </w:p>
    <w:p w:rsidR="00000000" w:rsidDel="00000000" w:rsidP="00000000" w:rsidRDefault="00000000" w:rsidRPr="00000000" w14:paraId="0000005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Developer(s) (All Team)</w:t>
      </w:r>
    </w:p>
    <w:p w:rsidR="00000000" w:rsidDel="00000000" w:rsidP="00000000" w:rsidRDefault="00000000" w:rsidRPr="00000000" w14:paraId="00000054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Designing and implementing the dashboard system</w:t>
      </w:r>
    </w:p>
    <w:p w:rsidR="00000000" w:rsidDel="00000000" w:rsidP="00000000" w:rsidRDefault="00000000" w:rsidRPr="00000000" w14:paraId="00000055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Integrating frontend and backend components</w:t>
      </w:r>
    </w:p>
    <w:p w:rsidR="00000000" w:rsidDel="00000000" w:rsidP="00000000" w:rsidRDefault="00000000" w:rsidRPr="00000000" w14:paraId="00000056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Addressing technical issues and defects</w:t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Documentation Responsible (Sacide Sena Filiz)</w:t>
      </w:r>
    </w:p>
    <w:p w:rsidR="00000000" w:rsidDel="00000000" w:rsidP="00000000" w:rsidRDefault="00000000" w:rsidRPr="00000000" w14:paraId="0000005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Preparing and maintaining project documents</w:t>
      </w:r>
    </w:p>
    <w:p w:rsidR="00000000" w:rsidDel="00000000" w:rsidP="00000000" w:rsidRDefault="00000000" w:rsidRPr="00000000" w14:paraId="00000059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Ensuring consistency with IEEE standards</w:t>
      </w:r>
    </w:p>
    <w:p w:rsidR="00000000" w:rsidDel="00000000" w:rsidP="00000000" w:rsidRDefault="00000000" w:rsidRPr="00000000" w14:paraId="0000005A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 Project Schedule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hyglv365s4d4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Milestones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topic definition and approval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Requirements analysis and specification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design and architecture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Prototype implementation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Testing and evaluation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 report submission and presentation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962ose2u1fwe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Schedule Overview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project follows a semester-based schedule aligned with the BIL 495 / YAP 495 timeline. Activities are planned sequentially with limited overlap to ensure clarity and traceability. </w:t>
      </w:r>
      <w:sdt>
        <w:sdtPr>
          <w:id w:val="1491990729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Gantt chart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is prepared separately to visualize task durations and dependencies and you can access via the link attached in </w:t>
      </w:r>
      <w:hyperlink w:anchor="_heading=h.nadd8kpsn3fi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Appendix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4. Budget and Resources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k7m4gvlfhval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Human Resources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Student project team members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Academic advisor (supervisory role)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bg1oxkmvy4v6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Technical Resources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Personal computers for development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Software development tools and libraries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Version control and documentation tools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a0pyp8x4sv5b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Budget Considerations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direct financial budget is allocated yet. The project relies on existing academic and personal resources. This constraint influences design choices, favoring open-source technologies and prototype-level implementation.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5. Risk Management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after="80" w:before="28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ogimb06u1pfb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Identified Risks and Mitigation Strategies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Limited Medical Domain Knowledge</w:t>
      </w:r>
    </w:p>
    <w:p w:rsidR="00000000" w:rsidDel="00000000" w:rsidP="00000000" w:rsidRDefault="00000000" w:rsidRPr="00000000" w14:paraId="0000007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Risk: Misinterpretation of clinical data requirements</w:t>
      </w:r>
    </w:p>
    <w:p w:rsidR="00000000" w:rsidDel="00000000" w:rsidP="00000000" w:rsidRDefault="00000000" w:rsidRPr="00000000" w14:paraId="00000076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Mitigation: Using publicly available references and simplified clinical assumptions</w:t>
      </w:r>
    </w:p>
    <w:p w:rsidR="00000000" w:rsidDel="00000000" w:rsidP="00000000" w:rsidRDefault="00000000" w:rsidRPr="00000000" w14:paraId="0000007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Time Constraints</w:t>
      </w:r>
    </w:p>
    <w:p w:rsidR="00000000" w:rsidDel="00000000" w:rsidP="00000000" w:rsidRDefault="00000000" w:rsidRPr="00000000" w14:paraId="0000007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Risk: Incomplete implementation</w:t>
      </w:r>
    </w:p>
    <w:p w:rsidR="00000000" w:rsidDel="00000000" w:rsidP="00000000" w:rsidRDefault="00000000" w:rsidRPr="00000000" w14:paraId="0000007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Mitigation: Prioritizing core functionalities and clear milestone planning</w:t>
      </w:r>
    </w:p>
    <w:p w:rsidR="00000000" w:rsidDel="00000000" w:rsidP="00000000" w:rsidRDefault="00000000" w:rsidRPr="00000000" w14:paraId="0000007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Complexity</w:t>
      </w:r>
    </w:p>
    <w:p w:rsidR="00000000" w:rsidDel="00000000" w:rsidP="00000000" w:rsidRDefault="00000000" w:rsidRPr="00000000" w14:paraId="0000007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Risk: Integration issues between components</w:t>
      </w:r>
    </w:p>
    <w:p w:rsidR="00000000" w:rsidDel="00000000" w:rsidP="00000000" w:rsidRDefault="00000000" w:rsidRPr="00000000" w14:paraId="0000007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Mitigation: Modular design and early prototyping</w:t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Ethical and Data Sensitivity Concerns</w:t>
      </w:r>
    </w:p>
    <w:p w:rsidR="00000000" w:rsidDel="00000000" w:rsidP="00000000" w:rsidRDefault="00000000" w:rsidRPr="00000000" w14:paraId="0000007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Risk: Inappropriate handling of health-related data</w:t>
      </w:r>
    </w:p>
    <w:p w:rsidR="00000000" w:rsidDel="00000000" w:rsidP="00000000" w:rsidRDefault="00000000" w:rsidRPr="00000000" w14:paraId="0000007F">
      <w:pPr>
        <w:numPr>
          <w:ilvl w:val="1"/>
          <w:numId w:val="8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Mitigation: Use of synthetic or anonymized data only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6. Quality Assurance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In alignment with PMP methodology and ISO 9001 quality management principles, quality-related constraints and risks are identified and evaluated throughout the project lifecycle. Risk Register Table can be accessed in </w:t>
      </w:r>
      <w:hyperlink w:anchor="_heading=h.nadd8kpsn3fi">
        <w:r w:rsidDel="00000000" w:rsidR="00000000" w:rsidRPr="00000000">
          <w:rPr>
            <w:rFonts w:ascii="Times New Roman" w:cs="Times New Roman" w:eastAsia="Times New Roman" w:hAnsi="Times New Roman"/>
            <w:i w:val="1"/>
            <w:iCs w:val="1"/>
            <w:color w:val="1155cc"/>
            <w:sz w:val="24"/>
            <w:szCs w:val="24"/>
            <w:u w:val="single"/>
            <w:rtl w:val="0"/>
          </w:rPr>
          <w:t xml:space="preserve">Appendix</w:t>
        </w:r>
      </w:hyperlink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ay82jhmrl8bz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Economic and Financial Constraints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Constraint: No dedicated project budget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Impact: Limits technology choices and system scope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Mitigation: Use of open-source tools and simplified architecture</w:t>
      </w:r>
    </w:p>
    <w:p w:rsidR="00000000" w:rsidDel="00000000" w:rsidP="00000000" w:rsidRDefault="00000000" w:rsidRPr="00000000" w14:paraId="0000008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r5ws6tq7zwui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Environmental and Socio-Cultural Constraints</w:t>
      </w:r>
    </w:p>
    <w:p w:rsidR="00000000" w:rsidDel="00000000" w:rsidP="00000000" w:rsidRDefault="00000000" w:rsidRPr="00000000" w14:paraId="00000089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Constraint: Academic setting with no access to real clinical environments</w:t>
      </w:r>
    </w:p>
    <w:p w:rsidR="00000000" w:rsidDel="00000000" w:rsidP="00000000" w:rsidRDefault="00000000" w:rsidRPr="00000000" w14:paraId="0000008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Impact: Limits real-world validation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Mitigation: Scenario-based evaluation and literature-based assumptions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d6a1iim69zak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Health and Safety Considerations</w:t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Constraint: Project relates to healthcare but is not clinically certified</w:t>
      </w:r>
    </w:p>
    <w:p w:rsidR="00000000" w:rsidDel="00000000" w:rsidP="00000000" w:rsidRDefault="00000000" w:rsidRPr="00000000" w14:paraId="0000008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Impact: System cannot be used in real NICU environments</w:t>
      </w:r>
    </w:p>
    <w:p w:rsidR="00000000" w:rsidDel="00000000" w:rsidP="00000000" w:rsidRDefault="00000000" w:rsidRPr="00000000" w14:paraId="0000008F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Mitigation: Clear declaration of prototype-only usage</w:t>
      </w:r>
    </w:p>
    <w:p w:rsidR="00000000" w:rsidDel="00000000" w:rsidP="00000000" w:rsidRDefault="00000000" w:rsidRPr="00000000" w14:paraId="0000009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rit9otc3bmha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Legal and Ethical Constraints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Constraint: Handling of sensitive medical data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Impact: Strict requirements for data privacy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Mitigation: Use of dummy datasets and compliance with ethical guidelines</w:t>
      </w:r>
    </w:p>
    <w:p w:rsidR="00000000" w:rsidDel="00000000" w:rsidP="00000000" w:rsidRDefault="00000000" w:rsidRPr="00000000" w14:paraId="0000009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h2a7ywgi0cp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Technological Constraints</w:t>
      </w:r>
    </w:p>
    <w:p w:rsidR="00000000" w:rsidDel="00000000" w:rsidP="00000000" w:rsidRDefault="00000000" w:rsidRPr="00000000" w14:paraId="00000095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Constraint: Limited development time and resources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Impact: Reduced system complexity</w:t>
      </w:r>
    </w:p>
    <w:p w:rsidR="00000000" w:rsidDel="00000000" w:rsidP="00000000" w:rsidRDefault="00000000" w:rsidRPr="00000000" w14:paraId="00000097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Mitigation: Focus on essential dashboard functionalities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nadd8kpsn3fi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7. Appendix</w:t>
      </w:r>
    </w:p>
    <w:p w:rsidR="00000000" w:rsidDel="00000000" w:rsidP="00000000" w:rsidRDefault="00000000" w:rsidRPr="00000000" w14:paraId="00000099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manifetch_gannt_chart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4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bhx3z89768rl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Risk Register Table</w:t>
      </w:r>
    </w:p>
    <w:tbl>
      <w:tblPr>
        <w:tblStyle w:val="Table1"/>
        <w:tblW w:w="8639.999999999998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898.6301369863013"/>
        <w:gridCol w:w="2055.890410958904"/>
        <w:gridCol w:w="1700.821917808219"/>
        <w:gridCol w:w="1174.794520547945"/>
        <w:gridCol w:w="846.0273972602739"/>
        <w:gridCol w:w="1963.835616438356"/>
        <w:tblGridChange w:id="0">
          <w:tblGrid>
            <w:gridCol w:w="898.6301369863013"/>
            <w:gridCol w:w="2055.890410958904"/>
            <w:gridCol w:w="1700.821917808219"/>
            <w:gridCol w:w="1174.794520547945"/>
            <w:gridCol w:w="846.0273972602739"/>
            <w:gridCol w:w="1963.835616438356"/>
          </w:tblGrid>
        </w:tblGridChange>
      </w:tblGrid>
      <w:tr>
        <w:trPr>
          <w:cantSplit w:val="0"/>
          <w:trHeight w:val="789.7460937500001" w:hRule="atLeast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Risk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Constraint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Risk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Likelihood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Mitigation Strategy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9.746093750000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Economic / Financial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Lack of dedicated budget limits system features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Use open-source tools and restrict scope to core functions</w:t>
            </w:r>
          </w:p>
        </w:tc>
      </w:tr>
      <w:tr>
        <w:trPr>
          <w:cantSplit w:val="0"/>
          <w:trHeight w:val="789.746093750000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Technological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Integration issues between dashboard components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High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Modular architecture and early prototyping</w:t>
            </w:r>
          </w:p>
        </w:tc>
      </w:tr>
      <w:tr>
        <w:trPr>
          <w:cantSplit w:val="0"/>
          <w:trHeight w:val="789.746093750000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Health &amp; Safety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Misinterpretation of clinical data leading to unsafe conclusions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Low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High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State non-clinical usage for the prototype</w:t>
            </w:r>
          </w:p>
        </w:tc>
      </w:tr>
      <w:tr>
        <w:trPr>
          <w:cantSplit w:val="0"/>
          <w:trHeight w:val="1666.8652343750002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Legal / Ethical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Improper handling of sensitive health-related data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Low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High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Anonymized datasets and ethical compliance review</w:t>
            </w:r>
          </w:p>
        </w:tc>
      </w:tr>
      <w:tr>
        <w:trPr>
          <w:cantSplit w:val="0"/>
          <w:trHeight w:val="779.492187500000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R5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Temporal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Project delays due to academic workload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Clear milestones and task prioritization</w:t>
            </w:r>
          </w:p>
        </w:tc>
      </w:tr>
      <w:tr>
        <w:trPr>
          <w:cantSplit w:val="0"/>
          <w:trHeight w:val="789.746093750000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R6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Environmental / Societal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Limited assessment of real NICU workflow impact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Medium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Low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Scenario-based evaluation and literature review</w:t>
            </w:r>
          </w:p>
        </w:tc>
      </w:tr>
    </w:tbl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nu6m8pvz6nzl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8. References</w:t>
      </w:r>
    </w:p>
    <w:p w:rsidR="00000000" w:rsidDel="00000000" w:rsidP="00000000" w:rsidRDefault="00000000" w:rsidRPr="00000000" w14:paraId="000000C8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IEEE 1058: Standard for Software Project Management Plans</w:t>
      </w:r>
    </w:p>
    <w:p w:rsidR="00000000" w:rsidDel="00000000" w:rsidP="00000000" w:rsidRDefault="00000000" w:rsidRPr="00000000" w14:paraId="000000C9">
      <w:pPr>
        <w:numPr>
          <w:ilvl w:val="0"/>
          <w:numId w:val="3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ISO/IEC 12207: Software Life Cycle Processes</w:t>
      </w:r>
    </w:p>
    <w:p w:rsidR="00000000" w:rsidDel="00000000" w:rsidP="00000000" w:rsidRDefault="00000000" w:rsidRPr="00000000" w14:paraId="000000CA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Bitirme Projeleri Kılavuz 2025</w:t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Neva" w:id="0" w:date="2025-12-15T19:23:18Z"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ekle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D7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 w:val="1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FC693F"/>
    <w:rPr>
      <w:rFonts w:ascii="Calibri" w:cs="" w:eastAsia="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200" w:before="0"/>
      <w:ind w:left="360" w:hanging="360"/>
      <w:contextualSpacing w:val="1"/>
    </w:pPr>
    <w:rPr/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Arial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suppressAutoHyphens w:val="1"/>
      <w:bidi w:val="0"/>
      <w:spacing w:after="0" w:before="0" w:line="240" w:lineRule="auto"/>
      <w:jc w:val="left"/>
    </w:pPr>
    <w:rPr>
      <w:rFonts w:ascii="Cambria" w:cs="" w:eastAsia="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20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20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20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20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20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20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20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20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20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1"/>
      <w:bidi w:val="0"/>
      <w:spacing w:after="200" w:before="0" w:line="276" w:lineRule="auto"/>
      <w:jc w:val="left"/>
    </w:pPr>
    <w:rPr>
      <w:rFonts w:ascii="Courier" w:cs="" w:eastAsia="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Caption1">
    <w:name w:val="caption1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aption11">
    <w:name w:val="caption11"/>
    <w:basedOn w:val="Normal"/>
    <w:next w:val="Normal"/>
    <w:qFormat w:val="1"/>
    <w:pPr>
      <w:spacing w:line="240" w:lineRule="exact"/>
    </w:pPr>
    <w:rPr>
      <w:b w:val="1"/>
      <w:bCs w:val="1"/>
      <w:color w:val="4f81bd"/>
      <w:sz w:val="18"/>
      <w:szCs w:val="18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hyperlink" Target="https://docs.google.com/spreadsheets/d/1cnizLnHylGAfNxrb13P4EDThCfd4odN2A6P4NjbsAw4/edit?gid=0#gid=0" TargetMode="Externa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Ok76N9f9pxP7MrTq20+EOrcDw==">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