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4"/>
        </w:rPr>
        <w:t>GCP + Databricks Data Quality Framework</w:t>
      </w:r>
    </w:p>
    <w:p>
      <w:pPr>
        <w:jc w:val="center"/>
      </w:pPr>
      <w:r>
        <w:rPr>
          <w:sz w:val="30"/>
        </w:rPr>
        <w:t>POC Design, Implementation, and Client Walkthrough</w:t>
      </w:r>
    </w:p>
    <w:tbl>
      <w:tblPr>
        <w:tblW w:type="auto" w:w="0"/>
        <w:tblLook w:firstColumn="1" w:firstRow="1" w:lastColumn="0" w:lastRow="0" w:noHBand="0" w:noVBand="1" w:val="04A0"/>
      </w:tblPr>
      <w:tblGrid>
        <w:gridCol w:w="10080"/>
      </w:tblGrid>
      <w:tr>
        <w:tc>
          <w:tcPr>
            <w:tcW w:type="dxa" w:w="10080"/>
            <w:shd w:fill="EAF2F8"/>
          </w:tcPr>
          <w:p>
            <w:r>
              <w:rPr>
                <w:b/>
              </w:rPr>
              <w:t>Purpose</w:t>
              <w:br/>
            </w:r>
            <w:r>
              <w:t>Explain how the design shared previously has been implemented as a GCP and Databricks proof of concept, including sources, services, metadata, rule execution, audit behavior, and extension points.</w:t>
            </w:r>
          </w:p>
        </w:tc>
      </w:tr>
    </w:tbl>
    <w:p>
      <w:pPr>
        <w:jc w:val="center"/>
      </w:pPr>
      <w:r>
        <w:drawing>
          <wp:inline xmlns:a="http://schemas.openxmlformats.org/drawingml/2006/main" xmlns:pic="http://schemas.openxmlformats.org/drawingml/2006/picture">
            <wp:extent cx="6035040" cy="97539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035040" cy="975390"/>
                    </a:xfrm>
                    <a:prstGeom prst="rect"/>
                  </pic:spPr>
                </pic:pic>
              </a:graphicData>
            </a:graphic>
          </wp:inline>
        </w:drawing>
      </w:r>
    </w:p>
    <w:p>
      <w:pPr>
        <w:jc w:val="center"/>
      </w:pPr>
      <w:r>
        <w:t>Figure 1. Previously shared metadata-driven DQ architecture</w:t>
      </w:r>
    </w:p>
    <w:p>
      <w:pPr>
        <w:pStyle w:val="Heading1"/>
      </w:pPr>
      <w:r>
        <w:t>1. Executive Summary</w:t>
      </w:r>
    </w:p>
    <w:p>
      <w:r>
        <w:t>The POC follows the previously shared target architecture. Databricks on Google Cloud hosts a generic PySpark DQ engine. BigQuery and Google Cloud Storage are demonstrated as distinct source technologies. Delta tables hold configuration, execution audit, rule results, and quarantined row samples. Dataset onboarding and applications of supported rules are configuration-driven.</w:t>
      </w:r>
    </w:p>
    <w:tbl>
      <w:tblPr>
        <w:tblW w:type="auto" w:w="0"/>
        <w:tblLook w:firstColumn="1" w:firstRow="1" w:lastColumn="0" w:lastRow="0" w:noHBand="0" w:noVBand="1" w:val="04A0"/>
      </w:tblPr>
      <w:tblGrid>
        <w:gridCol w:w="10080"/>
      </w:tblGrid>
      <w:tr>
        <w:tc>
          <w:tcPr>
            <w:tcW w:type="dxa" w:w="10080"/>
            <w:shd w:fill="D9EAD3"/>
          </w:tcPr>
          <w:p>
            <w:r>
              <w:rPr>
                <w:b/>
              </w:rPr>
              <w:t>Core principle</w:t>
              <w:br/>
            </w:r>
            <w:r>
              <w:t>Routine onboarding does not introduce dataset-specific code into the engine. New source technologies and genuinely new rule algorithms use stable reader and rule-registry extension points.</w:t>
            </w:r>
          </w:p>
        </w:tc>
      </w:tr>
    </w:tbl>
    <w:p>
      <w:pPr>
        <w:pStyle w:val="Heading1"/>
      </w:pPr>
      <w:r>
        <w:t>2. Services and Responsibilities</w:t>
      </w:r>
    </w:p>
    <w:tbl>
      <w:tblPr>
        <w:tblStyle w:val="TableGrid"/>
        <w:tblW w:type="auto" w:w="0"/>
        <w:jc w:val="center"/>
        <w:tblLook w:firstColumn="1" w:firstRow="1" w:lastColumn="0" w:lastRow="0" w:noHBand="0" w:noVBand="1" w:val="04A0"/>
      </w:tblPr>
      <w:tblGrid>
        <w:gridCol w:w="5040"/>
        <w:gridCol w:w="5040"/>
      </w:tblGrid>
      <w:tr>
        <w:tc>
          <w:tcPr>
            <w:tcW w:type="dxa" w:w="5040"/>
            <w:shd w:fill="1F4E5F"/>
          </w:tcPr>
          <w:p>
            <w:r>
              <w:rPr>
                <w:b/>
                <w:color w:val="FFFFFF"/>
              </w:rPr>
              <w:t>Service</w:t>
            </w:r>
          </w:p>
        </w:tc>
        <w:tc>
          <w:tcPr>
            <w:tcW w:type="dxa" w:w="5040"/>
            <w:shd w:fill="1F4E5F"/>
          </w:tcPr>
          <w:p>
            <w:r>
              <w:rPr>
                <w:b/>
                <w:color w:val="FFFFFF"/>
              </w:rPr>
              <w:t>POC responsibility</w:t>
            </w:r>
          </w:p>
        </w:tc>
      </w:tr>
      <w:tr>
        <w:tc>
          <w:tcPr>
            <w:tcW w:type="dxa" w:w="5040"/>
            <w:vAlign w:val="center"/>
          </w:tcPr>
          <w:p>
            <w:r>
              <w:t>Databricks on Google Cloud</w:t>
            </w:r>
          </w:p>
        </w:tc>
        <w:tc>
          <w:tcPr>
            <w:tcW w:type="dxa" w:w="5040"/>
            <w:vAlign w:val="center"/>
          </w:tcPr>
          <w:p>
            <w:r>
              <w:t>Runs the generic PySpark DQ engine and provides the job execution environment.</w:t>
            </w:r>
          </w:p>
        </w:tc>
      </w:tr>
      <w:tr>
        <w:tc>
          <w:tcPr>
            <w:tcW w:type="dxa" w:w="5040"/>
            <w:vAlign w:val="center"/>
          </w:tcPr>
          <w:p>
            <w:r>
              <w:t>Databricks Workflows</w:t>
            </w:r>
          </w:p>
        </w:tc>
        <w:tc>
          <w:tcPr>
            <w:tcW w:type="dxa" w:w="5040"/>
            <w:vAlign w:val="center"/>
          </w:tcPr>
          <w:p>
            <w:r>
              <w:t>Runs the packaged DQ job using the Databricks Asset Bundle definition.</w:t>
            </w:r>
          </w:p>
        </w:tc>
      </w:tr>
      <w:tr>
        <w:tc>
          <w:tcPr>
            <w:tcW w:type="dxa" w:w="5040"/>
            <w:vAlign w:val="center"/>
          </w:tcPr>
          <w:p>
            <w:r>
              <w:t>Google Cloud Storage</w:t>
            </w:r>
          </w:p>
        </w:tc>
        <w:tc>
          <w:tcPr>
            <w:tcW w:type="dxa" w:w="5040"/>
            <w:vAlign w:val="center"/>
          </w:tcPr>
          <w:p>
            <w:r>
              <w:t>Provides GCS CSV and Delta source datasets.</w:t>
            </w:r>
          </w:p>
        </w:tc>
      </w:tr>
      <w:tr>
        <w:tc>
          <w:tcPr>
            <w:tcW w:type="dxa" w:w="5040"/>
            <w:vAlign w:val="center"/>
          </w:tcPr>
          <w:p>
            <w:r>
              <w:t>BigQuery</w:t>
            </w:r>
          </w:p>
        </w:tc>
        <w:tc>
          <w:tcPr>
            <w:tcW w:type="dxa" w:w="5040"/>
            <w:vAlign w:val="center"/>
          </w:tcPr>
          <w:p>
            <w:r>
              <w:t>Provides a warehouse-native source dataset read through the Spark BigQuery connector.</w:t>
            </w:r>
          </w:p>
        </w:tc>
      </w:tr>
      <w:tr>
        <w:tc>
          <w:tcPr>
            <w:tcW w:type="dxa" w:w="5040"/>
            <w:vAlign w:val="center"/>
          </w:tcPr>
          <w:p>
            <w:r>
              <w:t>Delta tables</w:t>
            </w:r>
          </w:p>
        </w:tc>
        <w:tc>
          <w:tcPr>
            <w:tcW w:type="dxa" w:w="5040"/>
            <w:vAlign w:val="center"/>
          </w:tcPr>
          <w:p>
            <w:r>
              <w:t>Store dataset_config, rule_config, run_log, result_log, and quarantine_log.</w:t>
            </w:r>
          </w:p>
        </w:tc>
      </w:tr>
      <w:tr>
        <w:tc>
          <w:tcPr>
            <w:tcW w:type="dxa" w:w="5040"/>
            <w:vAlign w:val="center"/>
          </w:tcPr>
          <w:p>
            <w:r>
              <w:t>IAM / service identities</w:t>
            </w:r>
          </w:p>
        </w:tc>
        <w:tc>
          <w:tcPr>
            <w:tcW w:type="dxa" w:w="5040"/>
            <w:vAlign w:val="center"/>
          </w:tcPr>
          <w:p>
            <w:r>
              <w:t>Control Databricks access to GCS, BigQuery, catalogs, and audit data.</w:t>
            </w:r>
          </w:p>
        </w:tc>
      </w:tr>
      <w:tr>
        <w:tc>
          <w:tcPr>
            <w:tcW w:type="dxa" w:w="5040"/>
            <w:vAlign w:val="center"/>
          </w:tcPr>
          <w:p>
            <w:r>
              <w:t>Databricks SQL or Looker Studio</w:t>
            </w:r>
          </w:p>
        </w:tc>
        <w:tc>
          <w:tcPr>
            <w:tcW w:type="dxa" w:w="5040"/>
            <w:vAlign w:val="center"/>
          </w:tcPr>
          <w:p>
            <w:r>
              <w:t>Optional reporting over audit tables.</w:t>
            </w:r>
          </w:p>
        </w:tc>
      </w:tr>
    </w:tbl>
    <w:tbl>
      <w:tblPr>
        <w:tblW w:type="auto" w:w="0"/>
        <w:tblLook w:firstColumn="1" w:firstRow="1" w:lastColumn="0" w:lastRow="0" w:noHBand="0" w:noVBand="1" w:val="04A0"/>
      </w:tblPr>
      <w:tblGrid>
        <w:gridCol w:w="10080"/>
      </w:tblGrid>
      <w:tr>
        <w:tc>
          <w:tcPr>
            <w:tcW w:type="dxa" w:w="10080"/>
            <w:shd w:fill="EAF2F8"/>
          </w:tcPr>
          <w:p>
            <w:r>
              <w:rPr>
                <w:b/>
              </w:rPr>
              <w:t>Not required</w:t>
              <w:br/>
            </w:r>
            <w:r>
              <w:t>No Redis, Memorystore, cache, GKE, Dataflow, or Dataproc is required for this POC. Spark execution is provided by Databricks.</w:t>
            </w:r>
          </w:p>
        </w:tc>
      </w:tr>
    </w:tbl>
    <w:p>
      <w:pPr>
        <w:pStyle w:val="Heading1"/>
      </w:pPr>
      <w:r>
        <w:t>3. Source Types Demonstrated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5F"/>
          </w:tcPr>
          <w:p>
            <w:r>
              <w:rPr>
                <w:b/>
                <w:color w:val="FFFFFF"/>
              </w:rPr>
              <w:t>Dataset</w:t>
            </w:r>
          </w:p>
        </w:tc>
        <w:tc>
          <w:tcPr>
            <w:tcW w:type="dxa" w:w="3360"/>
            <w:shd w:fill="1F4E5F"/>
          </w:tcPr>
          <w:p>
            <w:r>
              <w:rPr>
                <w:b/>
                <w:color w:val="FFFFFF"/>
              </w:rPr>
              <w:t>Source type</w:t>
            </w:r>
          </w:p>
        </w:tc>
        <w:tc>
          <w:tcPr>
            <w:tcW w:type="dxa" w:w="3360"/>
            <w:shd w:fill="1F4E5F"/>
          </w:tcPr>
          <w:p>
            <w:r>
              <w:rPr>
                <w:b/>
                <w:color w:val="FFFFFF"/>
              </w:rPr>
              <w:t>Reader</w:t>
            </w:r>
          </w:p>
        </w:tc>
      </w:tr>
      <w:tr>
        <w:tc>
          <w:tcPr>
            <w:tcW w:type="dxa" w:w="3360"/>
            <w:vAlign w:val="center"/>
          </w:tcPr>
          <w:p>
            <w:r>
              <w:t>retail.orders</w:t>
            </w:r>
          </w:p>
        </w:tc>
        <w:tc>
          <w:tcPr>
            <w:tcW w:type="dxa" w:w="3360"/>
            <w:vAlign w:val="center"/>
          </w:tcPr>
          <w:p>
            <w:r>
              <w:t>BigQuery table</w:t>
            </w:r>
          </w:p>
        </w:tc>
        <w:tc>
          <w:tcPr>
            <w:tcW w:type="dxa" w:w="3360"/>
            <w:vAlign w:val="center"/>
          </w:tcPr>
          <w:p>
            <w:r>
              <w:t>BigQueryReader</w:t>
            </w:r>
          </w:p>
        </w:tc>
      </w:tr>
      <w:tr>
        <w:tc>
          <w:tcPr>
            <w:tcW w:type="dxa" w:w="3360"/>
            <w:vAlign w:val="center"/>
          </w:tcPr>
          <w:p>
            <w:r>
              <w:t>retail.customers</w:t>
            </w:r>
          </w:p>
        </w:tc>
        <w:tc>
          <w:tcPr>
            <w:tcW w:type="dxa" w:w="3360"/>
            <w:vAlign w:val="center"/>
          </w:tcPr>
          <w:p>
            <w:r>
              <w:t>GCS CSV</w:t>
            </w:r>
          </w:p>
        </w:tc>
        <w:tc>
          <w:tcPr>
            <w:tcW w:type="dxa" w:w="3360"/>
            <w:vAlign w:val="center"/>
          </w:tcPr>
          <w:p>
            <w:r>
              <w:t>GCSReader with csv format</w:t>
            </w:r>
          </w:p>
        </w:tc>
      </w:tr>
      <w:tr>
        <w:tc>
          <w:tcPr>
            <w:tcW w:type="dxa" w:w="3360"/>
            <w:vAlign w:val="center"/>
          </w:tcPr>
          <w:p>
            <w:r>
              <w:t>retail.products</w:t>
            </w:r>
          </w:p>
        </w:tc>
        <w:tc>
          <w:tcPr>
            <w:tcW w:type="dxa" w:w="3360"/>
            <w:vAlign w:val="center"/>
          </w:tcPr>
          <w:p>
            <w:r>
              <w:t>GCS Delta</w:t>
            </w:r>
          </w:p>
        </w:tc>
        <w:tc>
          <w:tcPr>
            <w:tcW w:type="dxa" w:w="3360"/>
            <w:vAlign w:val="center"/>
          </w:tcPr>
          <w:p>
            <w:r>
              <w:t>GCSReader with delta format</w:t>
            </w:r>
          </w:p>
        </w:tc>
      </w:tr>
    </w:tbl>
    <w:p>
      <w:r>
        <w:t>dataset_config stores source_type, location, file format, options, key information, owner, and activation status. The engine selects a reader from the reader registry and receives a Spark DataFrame. Rule processing is source-neutral after this step.</w:t>
      </w:r>
    </w:p>
    <w:p>
      <w:pPr>
        <w:pStyle w:val="Heading1"/>
      </w:pPr>
      <w:r>
        <w:t>4. Metadata and Audit Tables</w:t>
      </w:r>
    </w:p>
    <w:tbl>
      <w:tblPr>
        <w:tblStyle w:val="TableGrid"/>
        <w:tblW w:type="auto" w:w="0"/>
        <w:jc w:val="center"/>
        <w:tblLook w:firstColumn="1" w:firstRow="1" w:lastColumn="0" w:lastRow="0" w:noHBand="0" w:noVBand="1" w:val="04A0"/>
      </w:tblPr>
      <w:tblGrid>
        <w:gridCol w:w="5040"/>
        <w:gridCol w:w="5040"/>
      </w:tblGrid>
      <w:tr>
        <w:tc>
          <w:tcPr>
            <w:tcW w:type="dxa" w:w="5040"/>
            <w:shd w:fill="1F4E5F"/>
          </w:tcPr>
          <w:p>
            <w:r>
              <w:rPr>
                <w:b/>
                <w:color w:val="FFFFFF"/>
              </w:rPr>
              <w:t>Table</w:t>
            </w:r>
          </w:p>
        </w:tc>
        <w:tc>
          <w:tcPr>
            <w:tcW w:type="dxa" w:w="5040"/>
            <w:shd w:fill="1F4E5F"/>
          </w:tcPr>
          <w:p>
            <w:r>
              <w:rPr>
                <w:b/>
                <w:color w:val="FFFFFF"/>
              </w:rPr>
              <w:t>Purpose</w:t>
            </w:r>
          </w:p>
        </w:tc>
      </w:tr>
      <w:tr>
        <w:tc>
          <w:tcPr>
            <w:tcW w:type="dxa" w:w="5040"/>
            <w:vAlign w:val="center"/>
          </w:tcPr>
          <w:p>
            <w:r>
              <w:t>dataset_config</w:t>
            </w:r>
          </w:p>
        </w:tc>
        <w:tc>
          <w:tcPr>
            <w:tcW w:type="dxa" w:w="5040"/>
            <w:vAlign w:val="center"/>
          </w:tcPr>
          <w:p>
            <w:r>
              <w:t>One row per dataset and source location.</w:t>
            </w:r>
          </w:p>
        </w:tc>
      </w:tr>
      <w:tr>
        <w:tc>
          <w:tcPr>
            <w:tcW w:type="dxa" w:w="5040"/>
            <w:vAlign w:val="center"/>
          </w:tcPr>
          <w:p>
            <w:r>
              <w:t>rule_config</w:t>
            </w:r>
          </w:p>
        </w:tc>
        <w:tc>
          <w:tcPr>
            <w:tcW w:type="dxa" w:w="5040"/>
            <w:vAlign w:val="center"/>
          </w:tcPr>
          <w:p>
            <w:r>
              <w:t>One row per rule assignment, including expression, severity, threshold, action, and activation.</w:t>
            </w:r>
          </w:p>
        </w:tc>
      </w:tr>
      <w:tr>
        <w:tc>
          <w:tcPr>
            <w:tcW w:type="dxa" w:w="5040"/>
            <w:vAlign w:val="center"/>
          </w:tcPr>
          <w:p>
            <w:r>
              <w:t>run_log</w:t>
            </w:r>
          </w:p>
        </w:tc>
        <w:tc>
          <w:tcPr>
            <w:tcW w:type="dxa" w:w="5040"/>
            <w:vAlign w:val="center"/>
          </w:tcPr>
          <w:p>
            <w:r>
              <w:t>One row per dataset execution.</w:t>
            </w:r>
          </w:p>
        </w:tc>
      </w:tr>
      <w:tr>
        <w:tc>
          <w:tcPr>
            <w:tcW w:type="dxa" w:w="5040"/>
            <w:vAlign w:val="center"/>
          </w:tcPr>
          <w:p>
            <w:r>
              <w:t>result_log</w:t>
            </w:r>
          </w:p>
        </w:tc>
        <w:tc>
          <w:tcPr>
            <w:tcW w:type="dxa" w:w="5040"/>
            <w:vAlign w:val="center"/>
          </w:tcPr>
          <w:p>
            <w:r>
              <w:t>One row per rule outcome.</w:t>
            </w:r>
          </w:p>
        </w:tc>
      </w:tr>
      <w:tr>
        <w:tc>
          <w:tcPr>
            <w:tcW w:type="dxa" w:w="5040"/>
            <w:vAlign w:val="center"/>
          </w:tcPr>
          <w:p>
            <w:r>
              <w:t>quarantine_log</w:t>
            </w:r>
          </w:p>
        </w:tc>
        <w:tc>
          <w:tcPr>
            <w:tcW w:type="dxa" w:w="5040"/>
            <w:vAlign w:val="center"/>
          </w:tcPr>
          <w:p>
            <w:r>
              <w:t>Limited failed-row samples for row-level rules configured with QUARANTINE.</w:t>
            </w:r>
          </w:p>
        </w:tc>
      </w:tr>
    </w:tbl>
    <w:p>
      <w:pPr>
        <w:pStyle w:val="Heading1"/>
      </w:pPr>
      <w:r>
        <w:t>5. End-to-End Flow</w:t>
      </w:r>
    </w:p>
    <w:p>
      <w:r>
        <w:t>1. Databricks Workflow starts the Python task.</w:t>
      </w:r>
    </w:p>
    <w:p>
      <w:r>
        <w:t>2. The engine reads active dataset_config and rule_config rows.</w:t>
      </w:r>
    </w:p>
    <w:p>
      <w:r>
        <w:t>3. The reader registry chooses the BigQuery or GCS reader using source_type.</w:t>
      </w:r>
    </w:p>
    <w:p>
      <w:r>
        <w:t>4. Each reader returns a Spark DataFrame.</w:t>
      </w:r>
    </w:p>
    <w:p>
      <w:r>
        <w:t>5. The engine selects rule implementations from the rule registry.</w:t>
      </w:r>
    </w:p>
    <w:p>
      <w:r>
        <w:t>6. Row-level or aggregate checks are executed.</w:t>
      </w:r>
    </w:p>
    <w:p>
      <w:r>
        <w:t>7. The engine calculates checked rows, failed rows, failure percentage, and rule status.</w:t>
      </w:r>
    </w:p>
    <w:p>
      <w:r>
        <w:t>8. Critical failures set the run to FAIL; noncritical failures can set WARN; technical exceptions set ERROR.</w:t>
      </w:r>
    </w:p>
    <w:p>
      <w:r>
        <w:t>9. Rule outcomes and dataset execution details are written to Delta audit tables.</w:t>
      </w:r>
    </w:p>
    <w:p>
      <w:r>
        <w:t>10. QUARANTINE rules write a limited sample of failed rows to quarantine_log.</w:t>
      </w:r>
    </w:p>
    <w:p>
      <w:pPr>
        <w:pStyle w:val="Heading1"/>
      </w:pPr>
      <w:r>
        <w:t>6. DQ Checks Implemented</w:t>
      </w:r>
    </w:p>
    <w:tbl>
      <w:tblPr>
        <w:tblStyle w:val="TableGrid"/>
        <w:tblW w:type="auto" w:w="0"/>
        <w:jc w:val="center"/>
        <w:tblLook w:firstColumn="1" w:firstRow="1" w:lastColumn="0" w:lastRow="0" w:noHBand="0" w:noVBand="1" w:val="04A0"/>
      </w:tblPr>
      <w:tblGrid>
        <w:gridCol w:w="5040"/>
        <w:gridCol w:w="5040"/>
      </w:tblGrid>
      <w:tr>
        <w:tc>
          <w:tcPr>
            <w:tcW w:type="dxa" w:w="5040"/>
            <w:shd w:fill="1F4E5F"/>
          </w:tcPr>
          <w:p>
            <w:r>
              <w:rPr>
                <w:b/>
                <w:color w:val="FFFFFF"/>
              </w:rPr>
              <w:t>Rule</w:t>
            </w:r>
          </w:p>
        </w:tc>
        <w:tc>
          <w:tcPr>
            <w:tcW w:type="dxa" w:w="5040"/>
            <w:shd w:fill="1F4E5F"/>
          </w:tcPr>
          <w:p>
            <w:r>
              <w:rPr>
                <w:b/>
                <w:color w:val="FFFFFF"/>
              </w:rPr>
              <w:t>Coverage</w:t>
            </w:r>
          </w:p>
        </w:tc>
      </w:tr>
      <w:tr>
        <w:tc>
          <w:tcPr>
            <w:tcW w:type="dxa" w:w="5040"/>
            <w:vAlign w:val="center"/>
          </w:tcPr>
          <w:p>
            <w:r>
              <w:t>Completeness</w:t>
            </w:r>
          </w:p>
        </w:tc>
        <w:tc>
          <w:tcPr>
            <w:tcW w:type="dxa" w:w="5040"/>
            <w:vAlign w:val="center"/>
          </w:tcPr>
          <w:p>
            <w:r>
              <w:t>Null and blank required values.</w:t>
            </w:r>
          </w:p>
        </w:tc>
      </w:tr>
      <w:tr>
        <w:tc>
          <w:tcPr>
            <w:tcW w:type="dxa" w:w="5040"/>
            <w:vAlign w:val="center"/>
          </w:tcPr>
          <w:p>
            <w:r>
              <w:t>Uniqueness</w:t>
            </w:r>
          </w:p>
        </w:tc>
        <w:tc>
          <w:tcPr>
            <w:tcW w:type="dxa" w:w="5040"/>
            <w:vAlign w:val="center"/>
          </w:tcPr>
          <w:p>
            <w:r>
              <w:t>Duplicate values in a configured key column.</w:t>
            </w:r>
          </w:p>
        </w:tc>
      </w:tr>
      <w:tr>
        <w:tc>
          <w:tcPr>
            <w:tcW w:type="dxa" w:w="5040"/>
            <w:vAlign w:val="center"/>
          </w:tcPr>
          <w:p>
            <w:r>
              <w:t>Validity range</w:t>
            </w:r>
          </w:p>
        </w:tc>
        <w:tc>
          <w:tcPr>
            <w:tcW w:type="dxa" w:w="5040"/>
            <w:vAlign w:val="center"/>
          </w:tcPr>
          <w:p>
            <w:r>
              <w:t>Values outside numeric lower and upper bounds.</w:t>
            </w:r>
          </w:p>
        </w:tc>
      </w:tr>
      <w:tr>
        <w:tc>
          <w:tcPr>
            <w:tcW w:type="dxa" w:w="5040"/>
            <w:vAlign w:val="center"/>
          </w:tcPr>
          <w:p>
            <w:r>
              <w:t>Validity pattern</w:t>
            </w:r>
          </w:p>
        </w:tc>
        <w:tc>
          <w:tcPr>
            <w:tcW w:type="dxa" w:w="5040"/>
            <w:vAlign w:val="center"/>
          </w:tcPr>
          <w:p>
            <w:r>
              <w:t>Non-null strings that fail a regular expression.</w:t>
            </w:r>
          </w:p>
        </w:tc>
      </w:tr>
      <w:tr>
        <w:tc>
          <w:tcPr>
            <w:tcW w:type="dxa" w:w="5040"/>
            <w:vAlign w:val="center"/>
          </w:tcPr>
          <w:p>
            <w:r>
              <w:t>Validity list</w:t>
            </w:r>
          </w:p>
        </w:tc>
        <w:tc>
          <w:tcPr>
            <w:tcW w:type="dxa" w:w="5040"/>
            <w:vAlign w:val="center"/>
          </w:tcPr>
          <w:p>
            <w:r>
              <w:t>Non-null values outside an allowed list.</w:t>
            </w:r>
          </w:p>
        </w:tc>
      </w:tr>
      <w:tr>
        <w:tc>
          <w:tcPr>
            <w:tcW w:type="dxa" w:w="5040"/>
            <w:vAlign w:val="center"/>
          </w:tcPr>
          <w:p>
            <w:r>
              <w:t>Referential integrity</w:t>
            </w:r>
          </w:p>
        </w:tc>
        <w:tc>
          <w:tcPr>
            <w:tcW w:type="dxa" w:w="5040"/>
            <w:vAlign w:val="center"/>
          </w:tcPr>
          <w:p>
            <w:r>
              <w:t>Child values without a matching key in another configured dataset.</w:t>
            </w:r>
          </w:p>
        </w:tc>
      </w:tr>
      <w:tr>
        <w:tc>
          <w:tcPr>
            <w:tcW w:type="dxa" w:w="5040"/>
            <w:vAlign w:val="center"/>
          </w:tcPr>
          <w:p>
            <w:r>
              <w:t>Timeliness</w:t>
            </w:r>
          </w:p>
        </w:tc>
        <w:tc>
          <w:tcPr>
            <w:tcW w:type="dxa" w:w="5040"/>
            <w:vAlign w:val="center"/>
          </w:tcPr>
          <w:p>
            <w:r>
              <w:t>Null or stale timestamps beyond configured hours.</w:t>
            </w:r>
          </w:p>
        </w:tc>
      </w:tr>
      <w:tr>
        <w:tc>
          <w:tcPr>
            <w:tcW w:type="dxa" w:w="5040"/>
            <w:vAlign w:val="center"/>
          </w:tcPr>
          <w:p>
            <w:r>
              <w:t>Schema check</w:t>
            </w:r>
          </w:p>
        </w:tc>
        <w:tc>
          <w:tcPr>
            <w:tcW w:type="dxa" w:w="5040"/>
            <w:vAlign w:val="center"/>
          </w:tcPr>
          <w:p>
            <w:r>
              <w:t>Missing columns or unexpected data types.</w:t>
            </w:r>
          </w:p>
        </w:tc>
      </w:tr>
      <w:tr>
        <w:tc>
          <w:tcPr>
            <w:tcW w:type="dxa" w:w="5040"/>
            <w:vAlign w:val="center"/>
          </w:tcPr>
          <w:p>
            <w:r>
              <w:t>Reconciliation</w:t>
            </w:r>
          </w:p>
        </w:tc>
        <w:tc>
          <w:tcPr>
            <w:tcW w:type="dxa" w:w="5040"/>
            <w:vAlign w:val="center"/>
          </w:tcPr>
          <w:p>
            <w:r>
              <w:t>Count comparison with a configured reference dataset and tolerance.</w:t>
            </w:r>
          </w:p>
        </w:tc>
      </w:tr>
    </w:tbl>
    <w:p>
      <w:pPr>
        <w:pStyle w:val="Heading1"/>
      </w:pPr>
      <w:r>
        <w:t>7. Extensibility</w:t>
      </w:r>
    </w:p>
    <w:p>
      <w:pPr>
        <w:pStyle w:val="Heading2"/>
      </w:pPr>
      <w:r>
        <w:t>7.1 Configuration-only onboarding</w:t>
      </w:r>
    </w:p>
    <w:p>
      <w:pPr>
        <w:pStyle w:val="ListBullet"/>
      </w:pPr>
      <w:r>
        <w:t>Add a dataset that uses an existing reader.</w:t>
      </w:r>
    </w:p>
    <w:p>
      <w:pPr>
        <w:pStyle w:val="ListBullet"/>
      </w:pPr>
      <w:r>
        <w:t>Apply a supported rule to another dataset or column.</w:t>
      </w:r>
    </w:p>
    <w:p>
      <w:pPr>
        <w:pStyle w:val="ListBullet"/>
      </w:pPr>
      <w:r>
        <w:t>Change expressions, thresholds, severity, actions, ownership, or active status.</w:t>
      </w:r>
    </w:p>
    <w:p>
      <w:pPr>
        <w:pStyle w:val="Heading2"/>
      </w:pPr>
      <w:r>
        <w:t>7.2 Controlled plug-in extension</w:t>
      </w:r>
    </w:p>
    <w:p>
      <w:pPr>
        <w:pStyle w:val="ListBullet"/>
      </w:pPr>
      <w:r>
        <w:t>Implement SourceReader for a new source technology and register it once.</w:t>
      </w:r>
    </w:p>
    <w:p>
      <w:pPr>
        <w:pStyle w:val="ListBullet"/>
      </w:pPr>
      <w:r>
        <w:t>Implement a new row-level or aggregate rule and register it once.</w:t>
      </w:r>
    </w:p>
    <w:p>
      <w:r>
        <w:t>The shared configuration lookup, DataFrame handoff, threshold evaluation, status derivation, and audit-writing lifecycle remain common.</w:t>
      </w:r>
    </w:p>
    <w:p>
      <w:pPr>
        <w:pStyle w:val="Heading1"/>
      </w:pPr>
      <w:r>
        <w:t>8. Scalability Approach</w:t>
      </w:r>
    </w:p>
    <w:p>
      <w:pPr>
        <w:pStyle w:val="ListBullet"/>
      </w:pPr>
      <w:r>
        <w:t>PySpark provides distributed rule execution in Databricks.</w:t>
      </w:r>
    </w:p>
    <w:p>
      <w:pPr>
        <w:pStyle w:val="ListBullet"/>
      </w:pPr>
      <w:r>
        <w:t>Datasets and rules are discovered from metadata rather than coded pipelines.</w:t>
      </w:r>
    </w:p>
    <w:p>
      <w:pPr>
        <w:pStyle w:val="ListBullet"/>
      </w:pPr>
      <w:r>
        <w:t>Independent datasets can be separated into workflow tasks for controlled parallelism in production.</w:t>
      </w:r>
    </w:p>
    <w:p>
      <w:pPr>
        <w:pStyle w:val="ListBullet"/>
      </w:pPr>
      <w:r>
        <w:t>Delta audit tables retain standardized history.</w:t>
      </w:r>
    </w:p>
    <w:p>
      <w:pPr>
        <w:pStyle w:val="ListBullet"/>
      </w:pPr>
      <w:r>
        <w:t>Incremental watermark execution can be added using the existing watermark_column metadata field.</w:t>
      </w:r>
    </w:p>
    <w:tbl>
      <w:tblPr>
        <w:tblW w:type="auto" w:w="0"/>
        <w:tblLook w:firstColumn="1" w:firstRow="1" w:lastColumn="0" w:lastRow="0" w:noHBand="0" w:noVBand="1" w:val="04A0"/>
      </w:tblPr>
      <w:tblGrid>
        <w:gridCol w:w="10080"/>
      </w:tblGrid>
      <w:tr>
        <w:tc>
          <w:tcPr>
            <w:tcW w:type="dxa" w:w="10080"/>
            <w:shd w:fill="FFF2CC"/>
          </w:tcPr>
          <w:p>
            <w:r>
              <w:rPr>
                <w:b/>
              </w:rPr>
              <w:t>Evidence boundary</w:t>
              <w:br/>
            </w:r>
            <w:r>
              <w:t>The POC demonstrates the scale-ready design pattern. Production concurrency, cluster policy, connector throughput, data volume limits, and cost must be tested in the client environment.</w:t>
            </w:r>
          </w:p>
        </w:tc>
      </w:tr>
    </w:tbl>
    <w:p>
      <w:pPr>
        <w:pStyle w:val="Heading1"/>
      </w:pPr>
      <w:r>
        <w:t>9. POC Walkthrough Script</w:t>
      </w:r>
    </w:p>
    <w:p>
      <w:r>
        <w:t>1. Start with the original requirement and restate the metadata-driven principle.</w:t>
      </w:r>
    </w:p>
    <w:p>
      <w:r>
        <w:t>2. Show the GCP and Databricks architecture.</w:t>
      </w:r>
    </w:p>
    <w:p>
      <w:r>
        <w:t>3. Show dataset_config with BigQuery, GCS CSV, and GCS Delta sources.</w:t>
      </w:r>
    </w:p>
    <w:p>
      <w:r>
        <w:t>4. Show rule_config and the configured thresholds, severity, and actions.</w:t>
      </w:r>
    </w:p>
    <w:p>
      <w:r>
        <w:t>5. Show the reader registry, then explain that all readers return a Spark DataFrame.</w:t>
      </w:r>
    </w:p>
    <w:p>
      <w:r>
        <w:t>6. Show the rule registry and supported checks.</w:t>
      </w:r>
    </w:p>
    <w:p>
      <w:r>
        <w:t>7. Run the Databricks Workflow.</w:t>
      </w:r>
    </w:p>
    <w:p>
      <w:r>
        <w:t>8. Query run_log, result_log, and quarantine_log.</w:t>
      </w:r>
    </w:p>
    <w:p>
      <w:r>
        <w:t>9. Add an existing rule assignment through metadata and rerun without modifying the engine.</w:t>
      </w:r>
    </w:p>
    <w:p>
      <w:r>
        <w:t>10. Close with production boundaries and next-step environment validation.</w:t>
      </w:r>
    </w:p>
    <w:p>
      <w:pPr>
        <w:pStyle w:val="Heading1"/>
      </w:pPr>
      <w:r>
        <w:t>10. POC Boundaries</w:t>
      </w:r>
    </w:p>
    <w:tbl>
      <w:tblPr>
        <w:tblStyle w:val="TableGrid"/>
        <w:tblW w:type="auto" w:w="0"/>
        <w:jc w:val="center"/>
        <w:tblLook w:firstColumn="1" w:firstRow="1" w:lastColumn="0" w:lastRow="0" w:noHBand="0" w:noVBand="1" w:val="04A0"/>
      </w:tblPr>
      <w:tblGrid>
        <w:gridCol w:w="5040"/>
        <w:gridCol w:w="5040"/>
      </w:tblGrid>
      <w:tr>
        <w:tc>
          <w:tcPr>
            <w:tcW w:type="dxa" w:w="5040"/>
            <w:shd w:fill="1F4E5F"/>
          </w:tcPr>
          <w:p>
            <w:r>
              <w:rPr>
                <w:b/>
                <w:color w:val="FFFFFF"/>
              </w:rPr>
              <w:t>Area</w:t>
            </w:r>
          </w:p>
        </w:tc>
        <w:tc>
          <w:tcPr>
            <w:tcW w:type="dxa" w:w="5040"/>
            <w:shd w:fill="1F4E5F"/>
          </w:tcPr>
          <w:p>
            <w:r>
              <w:rPr>
                <w:b/>
                <w:color w:val="FFFFFF"/>
              </w:rPr>
              <w:t>Position</w:t>
            </w:r>
          </w:p>
        </w:tc>
      </w:tr>
      <w:tr>
        <w:tc>
          <w:tcPr>
            <w:tcW w:type="dxa" w:w="5040"/>
            <w:vAlign w:val="center"/>
          </w:tcPr>
          <w:p>
            <w:r>
              <w:t>Live execution</w:t>
            </w:r>
          </w:p>
        </w:tc>
        <w:tc>
          <w:tcPr>
            <w:tcW w:type="dxa" w:w="5040"/>
            <w:vAlign w:val="center"/>
          </w:tcPr>
          <w:p>
            <w:r>
              <w:t>Code is statically validated; live execution requires the client GCP and Databricks workspace.</w:t>
            </w:r>
          </w:p>
        </w:tc>
      </w:tr>
      <w:tr>
        <w:tc>
          <w:tcPr>
            <w:tcW w:type="dxa" w:w="5040"/>
            <w:vAlign w:val="center"/>
          </w:tcPr>
          <w:p>
            <w:r>
              <w:t>BigQuery connector</w:t>
            </w:r>
          </w:p>
        </w:tc>
        <w:tc>
          <w:tcPr>
            <w:tcW w:type="dxa" w:w="5040"/>
            <w:vAlign w:val="center"/>
          </w:tcPr>
          <w:p>
            <w:r>
              <w:t>Connector/runtime configuration must be validated in the target workspace.</w:t>
            </w:r>
          </w:p>
        </w:tc>
      </w:tr>
      <w:tr>
        <w:tc>
          <w:tcPr>
            <w:tcW w:type="dxa" w:w="5040"/>
            <w:vAlign w:val="center"/>
          </w:tcPr>
          <w:p>
            <w:r>
              <w:t>Security</w:t>
            </w:r>
          </w:p>
        </w:tc>
        <w:tc>
          <w:tcPr>
            <w:tcW w:type="dxa" w:w="5040"/>
            <w:vAlign w:val="center"/>
          </w:tcPr>
          <w:p>
            <w:r>
              <w:t>Use client-approved service identities, secrets, Unity Catalog permissions, and private connectivity where required.</w:t>
            </w:r>
          </w:p>
        </w:tc>
      </w:tr>
      <w:tr>
        <w:tc>
          <w:tcPr>
            <w:tcW w:type="dxa" w:w="5040"/>
            <w:vAlign w:val="center"/>
          </w:tcPr>
          <w:p>
            <w:r>
              <w:t>Incremental checks</w:t>
            </w:r>
          </w:p>
        </w:tc>
        <w:tc>
          <w:tcPr>
            <w:tcW w:type="dxa" w:w="5040"/>
            <w:vAlign w:val="center"/>
          </w:tcPr>
          <w:p>
            <w:r>
              <w:t>Metadata field is present; full watermark lifecycle is a production extension.</w:t>
            </w:r>
          </w:p>
        </w:tc>
      </w:tr>
      <w:tr>
        <w:tc>
          <w:tcPr>
            <w:tcW w:type="dxa" w:w="5040"/>
            <w:vAlign w:val="center"/>
          </w:tcPr>
          <w:p>
            <w:r>
              <w:t>Alerts and dashboards</w:t>
            </w:r>
          </w:p>
        </w:tc>
        <w:tc>
          <w:tcPr>
            <w:tcW w:type="dxa" w:w="5040"/>
            <w:vAlign w:val="center"/>
          </w:tcPr>
          <w:p>
            <w:r>
              <w:t>Audit tables are ready; notification and reporting integrations are optional.</w:t>
            </w:r>
          </w:p>
        </w:tc>
      </w:tr>
      <w:tr>
        <w:tc>
          <w:tcPr>
            <w:tcW w:type="dxa" w:w="5040"/>
            <w:vAlign w:val="center"/>
          </w:tcPr>
          <w:p>
            <w:r>
              <w:t>Existing framework</w:t>
            </w:r>
          </w:p>
        </w:tc>
        <w:tc>
          <w:tcPr>
            <w:tcW w:type="dxa" w:w="5040"/>
            <w:vAlign w:val="center"/>
          </w:tcPr>
          <w:p>
            <w:r>
              <w:t>Integrate through existing orchestration and data interfaces. Change core components only when a documented defect or incompatibility is demonstrated and approved.</w:t>
            </w:r>
          </w:p>
        </w:tc>
      </w:tr>
    </w:tbl>
    <w:p>
      <w:pPr>
        <w:pStyle w:val="Heading1"/>
      </w:pPr>
      <w:r>
        <w:t>11. Conclusion</w:t>
      </w:r>
    </w:p>
    <w:p>
      <w:r>
        <w:t>The POC is a direct implementation of the design shared previously: GCP is the cloud platform, Databricks and PySpark provide the generic DQ engine, BigQuery and GCS provide multiple source types, and metadata drives datasets and rules. The source-reader and rule registries keep the common execution lifecycle extensible and free from dataset-specific code.</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GCP + Databricks Metadata-Driven DQ POC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KS1 Manigandan</dc:creator>
  <keywords/>
  <dc:description>generated by python-docx</dc:description>
  <lastModifiedBy>KS1 Manigandan</lastModifiedBy>
  <revision>1</revision>
  <dcterms:created xsi:type="dcterms:W3CDTF">2026-09-08T15:14:32.8418819Z</dcterms:created>
  <dcterms:modified xsi:type="dcterms:W3CDTF">2026-09-08T15:14:32.8418819Z</dcterms:modified>
  <category/>
</coreProperties>
</file>