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8f263600bae340db0f3c0d22d293cf115f88543" w:id="16"/>
    <w:bookmarkStart w:name="how-item-1-is-assessed-a-portfolio" w:id="9"/>
    <w:bookmarkEnd w:id="9"/>
    <w:bookmarkStart w:name="the-five-demos-and-how-they-are-counted" w:id="10"/>
    <w:bookmarkEnd w:id="10"/>
    <w:bookmarkStart w:name="missing-a-demo" w:id="11"/>
    <w:bookmarkEnd w:id="11"/>
    <w:bookmarkStart w:name="extenuating-circumstances-ecf" w:id="13"/>
    <w:bookmarkEnd w:id="13"/>
    <w:bookmarkStart w:name="referral-and-deferral" w:id="15"/>
    <w:bookmarkEnd w:id="15"/>
    <w:bookmarkEnd w:id="16"/>
    <w:p w:rsidR="2A63C5B7" w:rsidP="7134D836" w:rsidRDefault="2A63C5B7" w14:paraId="05009812" w14:textId="1C582360">
      <w:pPr>
        <w:pStyle w:val="Heading1"/>
        <w:spacing w:before="360" w:beforeAutospacing="off" w:after="80" w:afterAutospacing="off"/>
        <w:rPr>
          <w:rFonts w:ascii="Aptos Display" w:hAnsi="Aptos Display" w:eastAsia="Aptos Display" w:cs="Aptos Display"/>
          <w:b w:val="0"/>
          <w:bCs w:val="0"/>
          <w:noProof w:val="0"/>
          <w:color w:val="0F4761" w:themeColor="accent1" w:themeTint="FF" w:themeShade="BF"/>
          <w:sz w:val="32"/>
          <w:szCs w:val="32"/>
          <w:lang w:val="en-US"/>
        </w:rPr>
      </w:pPr>
      <w:r w:rsidRPr="7134D836" w:rsidR="2A63C5B7">
        <w:rPr>
          <w:rFonts w:ascii="Aptos Display" w:hAnsi="Aptos Display" w:eastAsia="Aptos Display" w:cs="Aptos Display"/>
          <w:b w:val="0"/>
          <w:bCs w:val="0"/>
          <w:noProof w:val="0"/>
          <w:color w:val="0F4761" w:themeColor="accent1" w:themeTint="FF" w:themeShade="BF"/>
          <w:sz w:val="36"/>
          <w:szCs w:val="36"/>
          <w:lang w:val="en-US"/>
        </w:rPr>
        <w:t>Term 1 Assessment Guide</w:t>
      </w:r>
    </w:p>
    <w:p w:rsidR="2A63C5B7" w:rsidP="7134D836" w:rsidRDefault="2A63C5B7" w14:paraId="16E8DBF6" w14:textId="7D6F9FB5">
      <w:pPr>
        <w:pStyle w:val="Heading2"/>
        <w:spacing w:before="160" w:beforeAutospacing="off" w:after="80" w:afterAutospacing="off"/>
        <w:rPr>
          <w:rFonts w:ascii="Aptos Display" w:hAnsi="Aptos Display" w:eastAsia="Aptos Display" w:cs="Aptos Display"/>
          <w:b w:val="0"/>
          <w:bCs w:val="0"/>
          <w:noProof w:val="0"/>
          <w:color w:val="0F4761" w:themeColor="accent1" w:themeTint="FF" w:themeShade="BF"/>
          <w:sz w:val="24"/>
          <w:szCs w:val="24"/>
          <w:lang w:val="en-US"/>
        </w:rPr>
      </w:pPr>
      <w:r w:rsidRPr="7134D836" w:rsidR="2A63C5B7">
        <w:rPr>
          <w:rFonts w:ascii="Aptos Display" w:hAnsi="Aptos Display" w:eastAsia="Aptos Display" w:cs="Aptos Display"/>
          <w:b w:val="0"/>
          <w:bCs w:val="0"/>
          <w:noProof w:val="0"/>
          <w:color w:val="0F4761" w:themeColor="accent1" w:themeTint="FF" w:themeShade="BF"/>
          <w:sz w:val="28"/>
          <w:szCs w:val="28"/>
          <w:lang w:val="en-US"/>
        </w:rPr>
        <w:t>How Item 1 is assessed: a portfolio</w:t>
      </w:r>
    </w:p>
    <w:p w:rsidR="2A63C5B7" w:rsidP="7134D836" w:rsidRDefault="2A63C5B7" w14:paraId="5FE2A13C" w14:textId="3F368E75">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Your module has two assessments. The Southsea Cinema Flutter Coursework is Item 1, and it is worth 50% of the overall module mark. The other 50% (Item 2) is assessed separately and is not covered by this guide.</w:t>
      </w:r>
    </w:p>
    <w:p w:rsidR="2A63C5B7" w:rsidP="7134D836" w:rsidRDefault="2A63C5B7" w14:paraId="37177AD1" w14:textId="3D435004">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Item 1 is not a single submission. It is a portfolio in which you build the Southsea Cinema app in five stages across the teaching block. You demonstrate each stage to a member of staff during your timetabled practical session.</w:t>
      </w:r>
    </w:p>
    <w:p w:rsidR="2A63C5B7" w:rsidP="7134D836" w:rsidRDefault="2A63C5B7" w14:paraId="085F229F" w14:textId="1C8DEFE3">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There are two things you must do. </w:t>
      </w:r>
    </w:p>
    <w:p w:rsidR="2A63C5B7" w:rsidP="7134D836" w:rsidRDefault="2A63C5B7" w14:paraId="4F90EC45" w14:textId="34D20988">
      <w:pPr>
        <w:pStyle w:val="ListParagraph"/>
        <w:numPr>
          <w:ilvl w:val="0"/>
          <w:numId w:val="1001"/>
        </w:numPr>
        <w:spacing w:before="0" w:beforeAutospacing="off" w:after="0" w:afterAutospacing="off"/>
        <w:ind w:left="720" w:right="0" w:hanging="360"/>
        <w:rPr>
          <w:rFonts w:ascii="Aptos" w:hAnsi="Aptos" w:eastAsia="Aptos" w:cs="Aptos"/>
          <w:noProof w:val="0"/>
          <w:sz w:val="22"/>
          <w:szCs w:val="22"/>
          <w:lang w:val="en-US"/>
        </w:rPr>
      </w:pPr>
      <w:r w:rsidRPr="7134D836" w:rsidR="2A63C5B7">
        <w:rPr>
          <w:rFonts w:ascii="Aptos" w:hAnsi="Aptos" w:eastAsia="Aptos" w:cs="Aptos"/>
          <w:noProof w:val="0"/>
          <w:sz w:val="22"/>
          <w:szCs w:val="22"/>
          <w:lang w:val="en-US"/>
        </w:rPr>
        <w:t>Submit the link to your public GitHub repository on Moodle. You submit the repository link once, when instructed. You do not upload a zip file or source code, and you must keep the repository public (test it in a private or incognito browser window; you should not get a 404).</w:t>
      </w:r>
    </w:p>
    <w:p w:rsidR="2A63C5B7" w:rsidP="7134D836" w:rsidRDefault="2A63C5B7" w14:paraId="73F8846F" w14:textId="672A7CA9">
      <w:pPr>
        <w:pStyle w:val="ListParagraph"/>
        <w:numPr>
          <w:ilvl w:val="0"/>
          <w:numId w:val="1001"/>
        </w:numPr>
        <w:spacing w:before="0" w:beforeAutospacing="off" w:after="0" w:afterAutospacing="off"/>
        <w:ind w:left="720" w:right="0" w:hanging="360"/>
        <w:rPr>
          <w:rFonts w:ascii="Aptos" w:hAnsi="Aptos" w:eastAsia="Aptos" w:cs="Aptos"/>
          <w:noProof w:val="0"/>
          <w:sz w:val="22"/>
          <w:szCs w:val="22"/>
          <w:lang w:val="en-US"/>
        </w:rPr>
      </w:pPr>
      <w:r w:rsidRPr="7134D836" w:rsidR="2A63C5B7">
        <w:rPr>
          <w:rFonts w:ascii="Aptos" w:hAnsi="Aptos" w:eastAsia="Aptos" w:cs="Aptos"/>
          <w:noProof w:val="0"/>
          <w:sz w:val="22"/>
          <w:szCs w:val="22"/>
          <w:lang w:val="en-US"/>
        </w:rPr>
        <w:t>Attend your timetabled practical sessions and demonstrate your work. Marks are awarded only at the demo. If you do not attend, you get no marks for that demo unless you have an approved ECF (see below).</w:t>
      </w:r>
    </w:p>
    <w:p w:rsidR="2A63C5B7" w:rsidP="7134D836" w:rsidRDefault="2A63C5B7" w14:paraId="54480961" w14:textId="25970197">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The demos take place in your timetabled practical sessions. </w:t>
      </w:r>
    </w:p>
    <w:p w:rsidR="2A63C5B7" w:rsidP="7134D836" w:rsidRDefault="2A63C5B7" w14:paraId="02A76063" w14:textId="00124332">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You cannot attend a different session: your demo will only be recorded if you attend the session you are timetabled in.</w:t>
      </w:r>
    </w:p>
    <w:p w:rsidR="2A63C5B7" w:rsidP="7134D836" w:rsidRDefault="2A63C5B7" w14:paraId="30E420B0" w14:textId="072F6CF0">
      <w:pPr>
        <w:pStyle w:val="Heading2"/>
        <w:spacing w:before="160" w:beforeAutospacing="off" w:after="80" w:afterAutospacing="off"/>
        <w:rPr>
          <w:rFonts w:ascii="Aptos Display" w:hAnsi="Aptos Display" w:eastAsia="Aptos Display" w:cs="Aptos Display"/>
          <w:b w:val="0"/>
          <w:bCs w:val="0"/>
          <w:noProof w:val="0"/>
          <w:color w:val="0F4761" w:themeColor="accent1" w:themeTint="FF" w:themeShade="BF"/>
          <w:sz w:val="24"/>
          <w:szCs w:val="24"/>
          <w:lang w:val="en-US"/>
        </w:rPr>
      </w:pPr>
      <w:r w:rsidRPr="7134D836" w:rsidR="2A63C5B7">
        <w:rPr>
          <w:rFonts w:ascii="Aptos Display" w:hAnsi="Aptos Display" w:eastAsia="Aptos Display" w:cs="Aptos Display"/>
          <w:b w:val="0"/>
          <w:bCs w:val="0"/>
          <w:noProof w:val="0"/>
          <w:color w:val="0F4761" w:themeColor="accent1" w:themeTint="FF" w:themeShade="BF"/>
          <w:sz w:val="28"/>
          <w:szCs w:val="28"/>
          <w:lang w:val="en-US"/>
        </w:rPr>
        <w:t>The five demos and how they are counted</w:t>
      </w:r>
    </w:p>
    <w:p w:rsidR="2A63C5B7" w:rsidP="7134D836" w:rsidRDefault="2A63C5B7" w14:paraId="20167058" w14:textId="198E0993">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The app is built in five demos. However, only your best four demo marks count towards Item 1.</w:t>
      </w:r>
    </w:p>
    <w:p w:rsidR="2A63C5B7" w:rsidP="7134D836" w:rsidRDefault="2A63C5B7" w14:paraId="6CA4A8E7" w14:textId="2E68BEFD">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Each demo is worth 25% of Item 1, which is 12.5% of the overall module. The fifth demo is effectively a safety net: it means you will be ok if you can miss one, or score poorly in one.</w:t>
      </w:r>
    </w:p>
    <w:p w:rsidR="2A63C5B7" w:rsidP="7134D836" w:rsidRDefault="2A63C5B7" w14:paraId="36B6A6F0" w14:textId="699CEE8B">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At each demo you run your app and a member of staff assesses three things. The percentages below are shares of Item 1.</w:t>
      </w:r>
    </w:p>
    <w:p w:rsidR="2A63C5B7" w:rsidP="7134D836" w:rsidRDefault="2A63C5B7" w14:paraId="504FD712" w14:textId="7330F1FF">
      <w:pPr>
        <w:pStyle w:val="ListParagraph"/>
        <w:numPr>
          <w:ilvl w:val="0"/>
          <w:numId w:val="1002"/>
        </w:numPr>
        <w:spacing w:before="0" w:beforeAutospacing="off" w:after="0" w:afterAutospacing="off"/>
        <w:ind w:left="720" w:right="0" w:hanging="360"/>
        <w:rPr>
          <w:rFonts w:ascii="Aptos" w:hAnsi="Aptos" w:eastAsia="Aptos" w:cs="Aptos"/>
          <w:noProof w:val="0"/>
          <w:sz w:val="22"/>
          <w:szCs w:val="22"/>
          <w:lang w:val="en-US"/>
        </w:rPr>
      </w:pPr>
      <w:r w:rsidRPr="7134D836" w:rsidR="2A63C5B7">
        <w:rPr>
          <w:rFonts w:ascii="Aptos" w:hAnsi="Aptos" w:eastAsia="Aptos" w:cs="Aptos"/>
          <w:noProof w:val="0"/>
          <w:sz w:val="22"/>
          <w:szCs w:val="22"/>
          <w:lang w:val="en-US"/>
        </w:rPr>
        <w:t>Functionality is worth 9%: you run your app and show that it implements the features expected for this stage.</w:t>
      </w:r>
    </w:p>
    <w:p w:rsidR="2A63C5B7" w:rsidP="7134D836" w:rsidRDefault="2A63C5B7" w14:paraId="0F9ED59D" w14:textId="2FBE5F46">
      <w:pPr>
        <w:pStyle w:val="ListParagraph"/>
        <w:numPr>
          <w:ilvl w:val="0"/>
          <w:numId w:val="1002"/>
        </w:numPr>
        <w:spacing w:before="0" w:beforeAutospacing="off" w:after="0" w:afterAutospacing="off"/>
        <w:ind w:left="720" w:right="0" w:hanging="360"/>
        <w:rPr>
          <w:rFonts w:ascii="Aptos" w:hAnsi="Aptos" w:eastAsia="Aptos" w:cs="Aptos"/>
          <w:noProof w:val="0"/>
          <w:sz w:val="22"/>
          <w:szCs w:val="22"/>
          <w:lang w:val="en-US"/>
        </w:rPr>
      </w:pPr>
      <w:r w:rsidRPr="7134D836" w:rsidR="2A63C5B7">
        <w:rPr>
          <w:rFonts w:ascii="Aptos" w:hAnsi="Aptos" w:eastAsia="Aptos" w:cs="Aptos"/>
          <w:noProof w:val="0"/>
          <w:sz w:val="22"/>
          <w:szCs w:val="22"/>
          <w:lang w:val="en-US"/>
        </w:rPr>
        <w:t xml:space="preserve">Code quality is worth 8%: a member of staff inspects your code, looking at naming and formatting early </w:t>
      </w:r>
      <w:r w:rsidRPr="7134D836" w:rsidR="2A63C5B7">
        <w:rPr>
          <w:noProof w:val="0"/>
          <w:sz w:val="22"/>
          <w:szCs w:val="22"/>
          <w:lang w:val="en-US"/>
        </w:rPr>
        <w:t>on and</w:t>
      </w:r>
      <w:r w:rsidRPr="7134D836" w:rsidR="2A63C5B7">
        <w:rPr>
          <w:rFonts w:ascii="Aptos" w:hAnsi="Aptos" w:eastAsia="Aptos" w:cs="Aptos"/>
          <w:noProof w:val="0"/>
          <w:sz w:val="22"/>
          <w:szCs w:val="22"/>
          <w:lang w:val="en-US"/>
        </w:rPr>
        <w:t xml:space="preserve"> structure and separation of concerns later.</w:t>
      </w:r>
    </w:p>
    <w:p w:rsidR="2A63C5B7" w:rsidP="7134D836" w:rsidRDefault="2A63C5B7" w14:paraId="25ECC337" w14:textId="59B0F31A">
      <w:pPr>
        <w:pStyle w:val="ListParagraph"/>
        <w:numPr>
          <w:ilvl w:val="0"/>
          <w:numId w:val="1002"/>
        </w:numPr>
        <w:spacing w:before="0" w:beforeAutospacing="off" w:after="0" w:afterAutospacing="off"/>
        <w:ind w:left="720" w:right="0" w:hanging="360"/>
        <w:rPr/>
      </w:pPr>
      <w:r w:rsidRPr="7134D836" w:rsidR="2A63C5B7">
        <w:rPr>
          <w:rFonts w:ascii="Aptos" w:hAnsi="Aptos" w:eastAsia="Aptos" w:cs="Aptos"/>
          <w:noProof w:val="0"/>
          <w:sz w:val="22"/>
          <w:szCs w:val="22"/>
          <w:lang w:val="en-US"/>
        </w:rPr>
        <w:t xml:space="preserve">Understanding is worth 8%: you answer two questions about your own code and the decisions behind it. </w:t>
      </w:r>
    </w:p>
    <w:p>
      <w:r>
        <w:t>Demo 3 covers Worksheets 5 and 6: themed navigation, the ticket basket, profile forms, a JSON film catalogue and saved profile preferences. SQLite booking history and database-backed checkout begin in Worksheet 7 for Demo 4, not required for Demo 3. Provider and notifiers are not assessment requirements.</w:t>
      </w:r>
    </w:p>
    <w:p>
      <w:r>
        <w:t>From Demo 4 onwards, test folders must mirror the application folders under lib. Run flutter test --coverage and demonstrate the results with the Flutter Coverage extension in VS Code. Test database queries, booking history and checkout success and failure, and verify that completed bookings survive restarting the Android emulator app.</w:t>
      </w:r>
    </w:p>
    <w:p w:rsidR="7134D836" w:rsidRDefault="7134D836" w14:paraId="065EF085" w14:textId="762A4793">
      <w:r>
        <w:br w:type="page"/>
      </w:r>
    </w:p>
    <w:p w:rsidR="2A63C5B7" w:rsidP="7134D836" w:rsidRDefault="2A63C5B7" w14:paraId="7E1BCD6A" w14:textId="3CCBB436">
      <w:pPr>
        <w:pStyle w:val="Heading2"/>
        <w:spacing w:before="160" w:beforeAutospacing="off" w:after="80" w:afterAutospacing="off"/>
        <w:rPr>
          <w:rFonts w:ascii="Aptos Display" w:hAnsi="Aptos Display" w:eastAsia="Aptos Display" w:cs="Aptos Display"/>
          <w:b w:val="0"/>
          <w:bCs w:val="0"/>
          <w:noProof w:val="0"/>
          <w:color w:val="0F4761" w:themeColor="accent1" w:themeTint="FF" w:themeShade="BF"/>
          <w:sz w:val="24"/>
          <w:szCs w:val="24"/>
          <w:lang w:val="en-US"/>
        </w:rPr>
      </w:pPr>
      <w:r w:rsidRPr="7134D836" w:rsidR="2A63C5B7">
        <w:rPr>
          <w:rFonts w:ascii="Aptos Display" w:hAnsi="Aptos Display" w:eastAsia="Aptos Display" w:cs="Aptos Display"/>
          <w:b w:val="0"/>
          <w:bCs w:val="0"/>
          <w:noProof w:val="0"/>
          <w:color w:val="0F4761" w:themeColor="accent1" w:themeTint="FF" w:themeShade="BF"/>
          <w:sz w:val="28"/>
          <w:szCs w:val="28"/>
          <w:lang w:val="en-US"/>
        </w:rPr>
        <w:t>Missing a demo</w:t>
      </w:r>
    </w:p>
    <w:p w:rsidR="2A63C5B7" w:rsidP="7134D836" w:rsidRDefault="2A63C5B7" w14:paraId="68EFFCBC" w14:textId="09A57E56">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Each stage must be demonstrated in its own window, and only one demo can take place per window for a given student. You cannot catch up by doing two demos in a single window.</w:t>
      </w:r>
    </w:p>
    <w:p w:rsidR="2A63C5B7" w:rsidP="7134D836" w:rsidRDefault="2A63C5B7" w14:paraId="310DEA3D" w14:textId="7BC39DE9">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If you miss one demo, then at the next window you demonstrate the demo you missed rather than the demo that window would normally cover. In effect you lose the chance to do one demo, but because only your top four of five demos count, missing a single demo does not harm your Item 1 mark, since you can still complete four demos.</w:t>
      </w:r>
    </w:p>
    <w:p w:rsidR="2A63C5B7" w:rsidP="7134D836" w:rsidRDefault="2A63C5B7" w14:paraId="47507291" w14:textId="62A6BDDD">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If you miss a second demo, you have now missed the windows for two demos, and because you can only do one demo per window, you cannot recover both. You will be able to complete at most three demos. Your Item 1 mark is therefore capped at three times 25%, which is 75% of Item 1, or a maximum of 37.5% of the overall module. </w:t>
      </w:r>
    </w:p>
    <w:p w:rsidR="2A63C5B7" w:rsidP="7134D836" w:rsidRDefault="2A63C5B7" w14:paraId="2F2C3747" w14:textId="1868AC21">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Each further missed demo reduces the number of demos you can complete, and therefore your maximum Item 1 mark, in the same way.</w:t>
      </w:r>
    </w:p>
    <w:p w:rsidR="2A63C5B7" w:rsidP="7134D836" w:rsidRDefault="2A63C5B7" w14:paraId="7F0785C5" w14:textId="2B650477">
      <w:pPr>
        <w:pStyle w:val="Heading2"/>
        <w:spacing w:before="160" w:beforeAutospacing="off" w:after="80" w:afterAutospacing="off"/>
        <w:rPr>
          <w:rFonts w:ascii="Aptos Display" w:hAnsi="Aptos Display" w:eastAsia="Aptos Display" w:cs="Aptos Display"/>
          <w:b w:val="0"/>
          <w:bCs w:val="0"/>
          <w:noProof w:val="0"/>
          <w:color w:val="0F4761" w:themeColor="accent1" w:themeTint="FF" w:themeShade="BF"/>
          <w:sz w:val="24"/>
          <w:szCs w:val="24"/>
          <w:lang w:val="en-US"/>
        </w:rPr>
      </w:pPr>
      <w:r w:rsidRPr="7134D836" w:rsidR="2A63C5B7">
        <w:rPr>
          <w:rFonts w:ascii="Aptos Display" w:hAnsi="Aptos Display" w:eastAsia="Aptos Display" w:cs="Aptos Display"/>
          <w:b w:val="0"/>
          <w:bCs w:val="0"/>
          <w:noProof w:val="0"/>
          <w:color w:val="0F4761" w:themeColor="accent1" w:themeTint="FF" w:themeShade="BF"/>
          <w:sz w:val="28"/>
          <w:szCs w:val="28"/>
          <w:lang w:val="en-US"/>
        </w:rPr>
        <w:t>Extenuating Circumstances (ECF)</w:t>
      </w:r>
    </w:p>
    <w:p w:rsidR="2A63C5B7" w:rsidP="7134D836" w:rsidRDefault="2A63C5B7" w14:paraId="7A352673" w14:textId="0F92EC66">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The University’s Extenuating Circumstances procedure supports you if circumstances beyond your control prevent you from attending, completing, or submitting an assessment on time. You can find it at </w:t>
      </w:r>
      <w:hyperlink r:id="Rd6f1a85818a34299">
        <w:r w:rsidRPr="7134D836" w:rsidR="2A63C5B7">
          <w:rPr>
            <w:rStyle w:val="Hyperlink"/>
            <w:noProof w:val="0"/>
            <w:color w:val="156082" w:themeColor="accent1" w:themeTint="FF" w:themeShade="FF"/>
            <w:sz w:val="22"/>
            <w:szCs w:val="22"/>
            <w:lang w:val="en-US"/>
          </w:rPr>
          <w:t>https://myport.port.ac.uk/my-course/extenuating-circumstances</w:t>
        </w:r>
      </w:hyperlink>
      <w:r w:rsidRPr="7134D836" w:rsidR="2A63C5B7">
        <w:rPr>
          <w:rFonts w:ascii="Aptos" w:hAnsi="Aptos" w:eastAsia="Aptos" w:cs="Aptos"/>
          <w:noProof w:val="0"/>
          <w:sz w:val="22"/>
          <w:szCs w:val="22"/>
          <w:lang w:val="en-US"/>
        </w:rPr>
        <w:t>.</w:t>
      </w:r>
    </w:p>
    <w:p w:rsidR="2A63C5B7" w:rsidP="7134D836" w:rsidRDefault="2A63C5B7" w14:paraId="66EFA652" w14:textId="05EC3218">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An ECF applies to the whole of Item 1, the entire Flutter Coursework worth 50% of the module. You cannot submit an ECF for a single demo. </w:t>
      </w:r>
    </w:p>
    <w:p w:rsidR="2A63C5B7" w:rsidP="7134D836" w:rsidRDefault="2A63C5B7" w14:paraId="29A9A20B" w14:textId="30D4F10A">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If you submit an ECF, you must tell me (</w:t>
      </w:r>
      <w:hyperlink r:id="R39d95e3726494912">
        <w:r w:rsidRPr="7134D836" w:rsidR="2A63C5B7">
          <w:rPr>
            <w:rStyle w:val="Hyperlink"/>
            <w:noProof w:val="0"/>
            <w:color w:val="156082" w:themeColor="accent1" w:themeTint="FF" w:themeShade="FF"/>
            <w:sz w:val="22"/>
            <w:szCs w:val="22"/>
            <w:lang w:val="en-US"/>
          </w:rPr>
          <w:t>mani.ghahremani@port.ac.uk</w:t>
        </w:r>
      </w:hyperlink>
      <w:r w:rsidRPr="7134D836" w:rsidR="2A63C5B7">
        <w:rPr>
          <w:rFonts w:ascii="Aptos" w:hAnsi="Aptos" w:eastAsia="Aptos" w:cs="Aptos"/>
          <w:noProof w:val="0"/>
          <w:sz w:val="22"/>
          <w:szCs w:val="22"/>
          <w:lang w:val="en-US"/>
        </w:rPr>
        <w:t>).</w:t>
      </w:r>
    </w:p>
    <w:p w:rsidR="2A63C5B7" w:rsidP="46EDD69A" w:rsidRDefault="2A63C5B7" w14:paraId="5BD31E63" w14:textId="595FAB6A">
      <w:pPr>
        <w:pStyle w:val="Normal"/>
        <w:spacing w:before="180" w:beforeAutospacing="off" w:after="180" w:afterAutospacing="off"/>
        <w:rPr>
          <w:rFonts w:ascii="Aptos" w:hAnsi="Aptos" w:eastAsia="Aptos" w:cs="Aptos"/>
          <w:noProof w:val="0"/>
          <w:sz w:val="20"/>
          <w:szCs w:val="20"/>
          <w:lang w:val="en-US"/>
        </w:rPr>
      </w:pPr>
      <w:r w:rsidRPr="46EDD69A" w:rsidR="2A63C5B7">
        <w:rPr>
          <w:rFonts w:ascii="Aptos" w:hAnsi="Aptos" w:eastAsia="Aptos" w:cs="Aptos"/>
          <w:noProof w:val="0"/>
          <w:sz w:val="22"/>
          <w:szCs w:val="22"/>
          <w:lang w:val="en-US"/>
        </w:rPr>
        <w:t xml:space="preserve">When an approved ECF is in place, your Item 1 mark must be recorded </w:t>
      </w:r>
      <w:r w:rsidRPr="46EDD69A" w:rsidR="39E7FBDC">
        <w:rPr>
          <w:rFonts w:ascii="Aptos" w:hAnsi="Aptos" w:eastAsia="Aptos" w:cs="Aptos"/>
          <w:noProof w:val="0"/>
          <w:sz w:val="22"/>
          <w:szCs w:val="22"/>
          <w:lang w:val="en-US"/>
        </w:rPr>
        <w:t>as 0,</w:t>
      </w:r>
      <w:r w:rsidRPr="46EDD69A" w:rsidR="2A63C5B7">
        <w:rPr>
          <w:rFonts w:ascii="Aptos" w:hAnsi="Aptos" w:eastAsia="Aptos" w:cs="Aptos"/>
          <w:noProof w:val="0"/>
          <w:sz w:val="22"/>
          <w:szCs w:val="22"/>
          <w:lang w:val="en-US"/>
        </w:rPr>
        <w:t xml:space="preserve"> and you </w:t>
      </w:r>
      <w:r w:rsidRPr="46EDD69A" w:rsidR="4DE28FE2">
        <w:rPr>
          <w:rFonts w:ascii="Aptos" w:hAnsi="Aptos" w:eastAsia="Aptos" w:cs="Aptos"/>
          <w:noProof w:val="0"/>
          <w:sz w:val="22"/>
          <w:szCs w:val="22"/>
          <w:lang w:val="en-US"/>
        </w:rPr>
        <w:t>are instead expected to take the deferral assessment in the week beginning Monday 22 February 2027, so your Item 1</w:t>
      </w:r>
      <w:r w:rsidRPr="46EDD69A" w:rsidR="2A63C5B7">
        <w:rPr>
          <w:rFonts w:ascii="Aptos" w:hAnsi="Aptos" w:eastAsia="Aptos" w:cs="Aptos"/>
          <w:noProof w:val="0"/>
          <w:sz w:val="22"/>
          <w:szCs w:val="22"/>
          <w:lang w:val="en-US"/>
        </w:rPr>
        <w:t xml:space="preserve"> mark then comes solely from that deferral coursework and not from any demos. </w:t>
      </w:r>
    </w:p>
    <w:p w:rsidR="2A63C5B7" w:rsidP="7134D836" w:rsidRDefault="2A63C5B7" w14:paraId="6339992F" w14:textId="7376C590">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If you have an ECF but go on to attend demos and earn marks, those demo marks take precedence and your ECF is overwritten.</w:t>
      </w:r>
    </w:p>
    <w:p w:rsidR="2A63C5B7" w:rsidP="7134D836" w:rsidRDefault="2A63C5B7" w14:paraId="31CF2246" w14:textId="756AC5FC">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When completing an ECF, use the correct module code and item number (Item 1) as given in the coursework brief.</w:t>
      </w:r>
    </w:p>
    <w:p w:rsidR="2A63C5B7" w:rsidP="7134D836" w:rsidRDefault="2A63C5B7" w14:paraId="78D84286" w14:textId="10CF520C">
      <w:pPr>
        <w:pStyle w:val="Heading2"/>
        <w:spacing w:before="160" w:beforeAutospacing="off" w:after="80" w:afterAutospacing="off"/>
        <w:rPr>
          <w:rFonts w:ascii="Aptos Display" w:hAnsi="Aptos Display" w:eastAsia="Aptos Display" w:cs="Aptos Display"/>
          <w:b w:val="0"/>
          <w:bCs w:val="0"/>
          <w:noProof w:val="0"/>
          <w:color w:val="0F4761" w:themeColor="accent1" w:themeTint="FF" w:themeShade="BF"/>
          <w:sz w:val="24"/>
          <w:szCs w:val="24"/>
          <w:lang w:val="en-US"/>
        </w:rPr>
      </w:pPr>
      <w:r w:rsidRPr="7134D836" w:rsidR="2A63C5B7">
        <w:rPr>
          <w:rFonts w:ascii="Aptos Display" w:hAnsi="Aptos Display" w:eastAsia="Aptos Display" w:cs="Aptos Display"/>
          <w:b w:val="0"/>
          <w:bCs w:val="0"/>
          <w:noProof w:val="0"/>
          <w:color w:val="0F4761" w:themeColor="accent1" w:themeTint="FF" w:themeShade="BF"/>
          <w:sz w:val="28"/>
          <w:szCs w:val="28"/>
          <w:lang w:val="en-US"/>
        </w:rPr>
        <w:t>Referral and deferral</w:t>
      </w:r>
    </w:p>
    <w:p w:rsidR="2A63C5B7" w:rsidP="7134D836" w:rsidRDefault="2A63C5B7" w14:paraId="7DAAEC1C" w14:textId="7B81F03D">
      <w:pPr>
        <w:spacing w:before="180" w:beforeAutospacing="off" w:after="180" w:afterAutospacing="off"/>
        <w:rPr>
          <w:rFonts w:ascii="Aptos" w:hAnsi="Aptos" w:eastAsia="Aptos" w:cs="Aptos"/>
          <w:noProof w:val="0"/>
          <w:sz w:val="20"/>
          <w:szCs w:val="20"/>
          <w:lang w:val="en-US"/>
        </w:rPr>
      </w:pPr>
      <w:r w:rsidRPr="7134D836" w:rsidR="2A63C5B7">
        <w:rPr>
          <w:rFonts w:ascii="Aptos" w:hAnsi="Aptos" w:eastAsia="Aptos" w:cs="Aptos"/>
          <w:noProof w:val="0"/>
          <w:sz w:val="22"/>
          <w:szCs w:val="22"/>
          <w:lang w:val="en-US"/>
        </w:rPr>
        <w:t xml:space="preserve">If you are referred or deferred, the referral and deferral assessment for this Flutter Coursework is a separate coursework completed during the referral and deferral period. It is not the same as the coursework brief, and it will be added to Moodle nearer the time. Referral and deferral dates are on the University Key Dates page at </w:t>
      </w:r>
      <w:hyperlink r:id="R1f682a70a8484cec">
        <w:r w:rsidRPr="7134D836" w:rsidR="2A63C5B7">
          <w:rPr>
            <w:rStyle w:val="Hyperlink"/>
            <w:noProof w:val="0"/>
            <w:color w:val="156082" w:themeColor="accent1" w:themeTint="FF" w:themeShade="FF"/>
            <w:sz w:val="22"/>
            <w:szCs w:val="22"/>
            <w:lang w:val="en-US"/>
          </w:rPr>
          <w:t>https://www.port.ac.uk/about-us/key-dates</w:t>
        </w:r>
      </w:hyperlink>
      <w:r w:rsidRPr="7134D836" w:rsidR="2A63C5B7">
        <w:rPr>
          <w:rFonts w:ascii="Aptos" w:hAnsi="Aptos" w:eastAsia="Aptos" w:cs="Aptos"/>
          <w:noProof w:val="0"/>
          <w:sz w:val="22"/>
          <w:szCs w:val="22"/>
          <w:lang w:val="en-US"/>
        </w:rPr>
        <w:t>.</w:t>
      </w:r>
    </w:p>
    <w:p w:rsidR="7134D836" w:rsidP="7134D836" w:rsidRDefault="7134D836" w14:paraId="50BC3FC6" w14:textId="53F93583">
      <w:pPr>
        <w:pStyle w:val="BodyText"/>
        <w:rPr>
          <w:sz w:val="22"/>
          <w:szCs w:val="22"/>
        </w:rPr>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2">
    <w:nsid w:val="1507e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5d0a3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2">
    <w:abstractNumId w:val="992"/>
  </w: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A63C5B7"/>
    <w:rsid w:val="2A63C5B7"/>
    <w:rsid w:val="2E997428"/>
    <w:rsid w:val="39E7FBDC"/>
    <w:rsid w:val="3AF9D749"/>
    <w:rsid w:val="3AF9D749"/>
    <w:rsid w:val="46EDD69A"/>
    <w:rsid w:val="49C9DC7B"/>
    <w:rsid w:val="4DE28FE2"/>
    <w:rsid w:val="5F72FBEF"/>
    <w:rsid w:val="7134D836"/>
    <w:rsid w:val="75FFA38B"/>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053C0"/>
  <w15:docId w15:val="{83BF3239-D823-4642-83DD-2D395F5F6D8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ListParagraph">
    <w:uiPriority w:val="34"/>
    <w:name w:val="List Paragraph"/>
    <w:basedOn w:val="Normal"/>
    <w:qFormat/>
    <w:rsid w:val="7134D836"/>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yperlink" Target="https://myport.port.ac.uk/my-course/extenuating-circumstances" TargetMode="External" Id="Rd6f1a85818a34299" /><Relationship Type="http://schemas.openxmlformats.org/officeDocument/2006/relationships/hyperlink" Target="mailto:mani.ghahremani@port.ac.uk" TargetMode="External" Id="R39d95e3726494912" /><Relationship Type="http://schemas.openxmlformats.org/officeDocument/2006/relationships/hyperlink" Target="https://www.port.ac.uk/about-us/key-dates" TargetMode="External" Id="R1f682a70a8484c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2026-09-05T14:26:10.0000000Z</dcterms:created>
  <dcterms:modified xsi:type="dcterms:W3CDTF">2026-09-08T12:53:37.0009166Z</dcterms:modified>
  <lastModifiedBy>Mani Ghahremani</lastModifiedBy>
</coreProperties>
</file>

<file path=docProps/custom.xml><?xml version="1.0" encoding="utf-8"?>
<Properties xmlns="http://schemas.openxmlformats.org/officeDocument/2006/custom-properties" xmlns:vt="http://schemas.openxmlformats.org/officeDocument/2006/docPropsVTypes"/>
</file>