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80" w:before="700"/>
        <w:jc w:val="center"/>
      </w:pPr>
      <w:r>
        <w:rPr>
          <w:rFonts w:ascii="Arial" w:cs="Arial" w:eastAsia="Arial" w:hAnsi="Arial"/>
          <w:b/>
          <w:bCs/>
          <w:color w:val="17365D"/>
          <w:sz w:val="36"/>
          <w:szCs w:val="36"/>
        </w:rPr>
        <w:t xml:space="preserve">IOTS Employee Tracking, Metrics and Evidence Design</w:t>
      </w:r>
    </w:p>
    <w:p>
      <w:pPr>
        <w:spacing w:after="250"/>
        <w:jc w:val="center"/>
      </w:pPr>
      <w:r>
        <w:rPr>
          <w:rFonts w:ascii="Arial" w:cs="Arial" w:eastAsia="Arial" w:hAnsi="Arial"/>
          <w:sz w:val="20"/>
          <w:szCs w:val="20"/>
        </w:rPr>
        <w:t xml:space="preserve">A plain-language engineering draft for role dashboards, metric calculations, evidence, API responses and implementation order.</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350"/>
        <w:gridCol w:w="7010"/>
      </w:tblGrid>
      <w:tr>
        <w:trPr>
          <w:tblHeader/>
        </w:trPr>
        <w:tc>
          <w:tcPr>
            <w:tcW w:type="dxa" w:w="235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Document detail</w:t>
            </w:r>
          </w:p>
        </w:tc>
        <w:tc>
          <w:tcPr>
            <w:tcW w:type="dxa" w:w="701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Description</w:t>
            </w:r>
          </w:p>
        </w:tc>
      </w:tr>
      <w:tr>
        <w:tc>
          <w:tcPr>
            <w:tcW w:type="dxa" w:w="2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Status</w:t>
            </w:r>
          </w:p>
        </w:tc>
        <w:tc>
          <w:tcPr>
            <w:tcW w:type="dxa" w:w="70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Working draft for design. Targets, thresholds, approval mandates and retention rules need policy approval.</w:t>
            </w:r>
          </w:p>
        </w:tc>
      </w:tr>
      <w:tr>
        <w:tc>
          <w:tcPr>
            <w:tcW w:type="dxa" w:w="2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System</w:t>
            </w:r>
          </w:p>
        </w:tc>
        <w:tc>
          <w:tcPr>
            <w:tcW w:type="dxa" w:w="70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React 19 + Vite frontend; Express 5 backend; versioned API /api/v1.</w:t>
            </w:r>
          </w:p>
        </w:tc>
      </w:tr>
      <w:tr>
        <w:tc>
          <w:tcPr>
            <w:tcW w:type="dxa" w:w="2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References</w:t>
            </w:r>
          </w:p>
        </w:tc>
        <w:tc>
          <w:tcPr>
            <w:tcW w:type="dxa" w:w="70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iots-system.drawio; Claude tracking specification; Gemini tracking draft; Responsibilities.docx and role matrix; integration plan.</w:t>
            </w:r>
          </w:p>
        </w:tc>
      </w:tr>
      <w:tr>
        <w:tc>
          <w:tcPr>
            <w:tcW w:type="dxa" w:w="2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Coverage</w:t>
            </w:r>
          </w:p>
        </w:tc>
        <w:tc>
          <w:tcPr>
            <w:tcW w:type="dxa" w:w="70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Ten IOTS role workspaces. Design and social distribution are views under Creatives Communication Associate.</w:t>
            </w:r>
          </w:p>
        </w:tc>
      </w:tr>
      <w:tr>
        <w:tc>
          <w:tcPr>
            <w:tcW w:type="dxa" w:w="2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Purpose</w:t>
            </w:r>
          </w:p>
        </w:tc>
        <w:tc>
          <w:tcPr>
            <w:tcW w:type="dxa" w:w="70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Help product, engineering and management design dashboards that explain who is doing what and what evidence supports every number.</w:t>
            </w:r>
          </w:p>
        </w:tc>
      </w:tr>
    </w:tbl>
    <w:p>
      <w:pPr>
        <w:spacing w:after="90" w:line="270"/>
      </w:pPr>
      <w:r>
        <w:rPr>
          <w:rFonts w:ascii="Arial" w:cs="Arial" w:eastAsia="Arial" w:hAnsi="Arial"/>
          <w:sz w:val="20"/>
          <w:szCs w:val="20"/>
        </w:rPr>
        <w:t xml:space="preserve">This describes intended design. It does not claim the existing application already implements these dashboards or APIs. Tracking covers work records, required evidence, attendance and location at explicit login/check-in/field-task events. No keystroke, screen or continuous location tracking is included.</w:t>
      </w:r>
    </w:p>
    <w:p>
      <w:r>
        <w:br w:type="page"/>
      </w:r>
    </w:p>
    <w:p>
      <w:pPr>
        <w:pStyle w:val="Heading1"/>
        <w:keepNext/>
        <w:spacing w:after="100" w:before="280"/>
      </w:pPr>
      <w:r>
        <w:t xml:space="preserve">1. Executive overview</w:t>
      </w:r>
    </w:p>
    <w:p>
      <w:pPr>
        <w:spacing w:after="90" w:line="270"/>
      </w:pPr>
      <w:r>
        <w:rPr>
          <w:rFonts w:ascii="Arial" w:cs="Arial" w:eastAsia="Arial" w:hAnsi="Arial"/>
          <w:sz w:val="20"/>
          <w:szCs w:val="20"/>
        </w:rPr>
        <w:t xml:space="preserve">IOTS should answer three questions at the right level: What needs attention across the organization? Which team or employee needs support or a decision? What records explain the number? The Chairman gets a brief organization-wide summary with links to source records. The General Manager gets an employee-level operational view. Managers see the teams and decisions within their configured authority. Individual contributors see their own work. Platform roles see the account, audit or service information needed for their work.</w:t>
      </w:r>
    </w:p>
    <w:p>
      <w:pPr>
        <w:spacing w:after="90" w:line="270"/>
      </w:pPr>
      <w:r>
        <w:rPr>
          <w:rFonts w:ascii="Arial" w:cs="Arial" w:eastAsia="Arial" w:hAnsi="Arial"/>
          <w:sz w:val="20"/>
          <w:szCs w:val="20"/>
        </w:rPr>
        <w:t xml:space="preserve">The backend records actions and enforces permissions. It calculates metrics from task, review, attendance, request, evidence, CRM and service events. The frontend displays the returned results and links; hiding a button never grants or removes permission. An employee may hold several roles, but can use only assigned roles, and each protected action records the active role.</w:t>
      </w:r>
    </w:p>
    <w:p>
      <w:pPr>
        <w:pStyle w:val="Heading2"/>
        <w:keepNext/>
        <w:spacing w:after="100" w:before="180"/>
      </w:pPr>
      <w:r>
        <w:t xml:space="preserve">How a number gets onto a dashboard</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1350"/>
        <w:gridCol w:w="4050"/>
        <w:gridCol w:w="3960"/>
      </w:tblGrid>
      <w:tr>
        <w:trPr>
          <w:tblHeader/>
        </w:trPr>
        <w:tc>
          <w:tcPr>
            <w:tcW w:type="dxa" w:w="135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Step</w:t>
            </w:r>
          </w:p>
        </w:tc>
        <w:tc>
          <w:tcPr>
            <w:tcW w:type="dxa" w:w="405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What happens</w:t>
            </w:r>
          </w:p>
        </w:tc>
        <w:tc>
          <w:tcPr>
            <w:tcW w:type="dxa" w:w="396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Control</w:t>
            </w:r>
          </w:p>
        </w:tc>
      </w:tr>
      <w:tr>
        <w:tc>
          <w:tcPr>
            <w:tcW w:type="dxa" w:w="1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1. Capture</w:t>
            </w:r>
          </w:p>
        </w:tc>
        <w:tc>
          <w:tcPr>
            <w:tcW w:type="dxa" w:w="4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 person or service creates an assignment, activity, submission, attendance event, request, evidence item, decision, CRM sync or health event.</w:t>
            </w:r>
          </w:p>
        </w:tc>
        <w:tc>
          <w:tcPr>
            <w:tcW w:type="dxa" w:w="3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Record employee/service identity, active role, time and linked entity.</w:t>
            </w:r>
          </w:p>
        </w:tc>
      </w:tr>
      <w:tr>
        <w:tc>
          <w:tcPr>
            <w:tcW w:type="dxa" w:w="1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2. Preserve</w:t>
            </w:r>
          </w:p>
        </w:tc>
        <w:tc>
          <w:tcPr>
            <w:tcW w:type="dxa" w:w="4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The API appends the event. Corrections, transfers, extensions and reviews create linked history.</w:t>
            </w:r>
          </w:p>
        </w:tc>
        <w:tc>
          <w:tcPr>
            <w:tcW w:type="dxa" w:w="3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Do not silently overwrite the original record.</w:t>
            </w:r>
          </w:p>
        </w:tc>
      </w:tr>
      <w:tr>
        <w:tc>
          <w:tcPr>
            <w:tcW w:type="dxa" w:w="1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 Calculate</w:t>
            </w:r>
          </w:p>
        </w:tc>
        <w:tc>
          <w:tcPr>
            <w:tcW w:type="dxa" w:w="4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 shared metric service applies one versioned definition for a period and scope.</w:t>
            </w:r>
          </w:p>
        </w:tc>
        <w:tc>
          <w:tcPr>
            <w:tcW w:type="dxa" w:w="3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Tasks counted once; exclusions and calendar rules are explicit.</w:t>
            </w:r>
          </w:p>
        </w:tc>
      </w:tr>
      <w:tr>
        <w:tc>
          <w:tcPr>
            <w:tcW w:type="dxa" w:w="1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4. Display</w:t>
            </w:r>
          </w:p>
        </w:tc>
        <w:tc>
          <w:tcPr>
            <w:tcW w:type="dxa" w:w="4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Show result, numerator/denominator, period, scope, target status and data freshness.</w:t>
            </w:r>
          </w:p>
        </w:tc>
        <w:tc>
          <w:tcPr>
            <w:tcW w:type="dxa" w:w="3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Zero denominator = N/A; missing target = Target not configured; small sample = counts.</w:t>
            </w:r>
          </w:p>
        </w:tc>
      </w:tr>
      <w:tr>
        <w:tc>
          <w:tcPr>
            <w:tcW w:type="dxa" w:w="1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5. Act</w:t>
            </w:r>
          </w:p>
        </w:tc>
        <w:tc>
          <w:tcPr>
            <w:tcW w:type="dxa" w:w="4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An authorised person opens source, decides and records reason and outcome.</w:t>
            </w:r>
          </w:p>
        </w:tc>
        <w:tc>
          <w:tcPr>
            <w:tcW w:type="dxa" w:w="3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 risk rule flags attention; it does not make a people decision.</w:t>
            </w:r>
          </w:p>
        </w:tc>
      </w:tr>
    </w:tbl>
    <w:p>
      <w:pPr>
        <w:pStyle w:val="Heading2"/>
        <w:keepNext/>
        <w:spacing w:after="100" w:before="180"/>
      </w:pPr>
      <w:r>
        <w:t xml:space="preserve">Different views for leadership</w:t>
      </w:r>
    </w:p>
    <w:p>
      <w:pPr>
        <w:pStyle w:val="ListParagraph"/>
        <w:numPr>
          <w:ilvl w:val="0"/>
          <w:numId w:val="2"/>
        </w:numPr>
        <w:spacing w:after="60" w:line="245"/>
      </w:pPr>
      <w:r>
        <w:rPr>
          <w:rFonts w:ascii="Arial" w:cs="Arial" w:eastAsia="Arial" w:hAnsi="Arial"/>
          <w:sz w:val="19"/>
          <w:szCs w:val="19"/>
        </w:rPr>
        <w:t xml:space="preserve">Chairman: brief organization health, material risks, royalty status, attendance exceptions, recognition decisions and data completeness; every figure opens to its source.</w:t>
      </w:r>
    </w:p>
    <w:p>
      <w:pPr>
        <w:pStyle w:val="ListParagraph"/>
        <w:numPr>
          <w:ilvl w:val="0"/>
          <w:numId w:val="2"/>
        </w:numPr>
        <w:spacing w:after="60" w:line="245"/>
      </w:pPr>
      <w:r>
        <w:rPr>
          <w:rFonts w:ascii="Arial" w:cs="Arial" w:eastAsia="Arial" w:hAnsi="Arial"/>
          <w:sz w:val="19"/>
          <w:szCs w:val="19"/>
        </w:rPr>
        <w:t xml:space="preserve">General Manager: employee availability, attendance, work queues, review waits, blockers, requests, 30-day measures and governance items.</w:t>
      </w:r>
    </w:p>
    <w:p>
      <w:pPr>
        <w:pStyle w:val="ListParagraph"/>
        <w:numPr>
          <w:ilvl w:val="0"/>
          <w:numId w:val="2"/>
        </w:numPr>
        <w:spacing w:after="60" w:line="245"/>
      </w:pPr>
      <w:r>
        <w:rPr>
          <w:rFonts w:ascii="Arial" w:cs="Arial" w:eastAsia="Arial" w:hAnsi="Arial"/>
          <w:sz w:val="19"/>
          <w:szCs w:val="19"/>
        </w:rPr>
        <w:t xml:space="preserve">Senior/Lead Managers: team capacity, deadline risk, review and decision queues, transfers and escalations within their configured scope.</w:t>
      </w:r>
    </w:p>
    <w:p>
      <w:pPr>
        <w:pStyle w:val="ListParagraph"/>
        <w:numPr>
          <w:ilvl w:val="0"/>
          <w:numId w:val="2"/>
        </w:numPr>
        <w:spacing w:after="60" w:line="245"/>
      </w:pPr>
      <w:r>
        <w:rPr>
          <w:rFonts w:ascii="Arial" w:cs="Arial" w:eastAsia="Arial" w:hAnsi="Arial"/>
          <w:sz w:val="19"/>
          <w:szCs w:val="19"/>
        </w:rPr>
        <w:t xml:space="preserve">Executives, BDEs and Creatives: personal workbench, next actions, evidence and measures they can influence.</w:t>
      </w:r>
    </w:p>
    <w:p>
      <w:pPr>
        <w:pStyle w:val="ListParagraph"/>
        <w:numPr>
          <w:ilvl w:val="0"/>
          <w:numId w:val="2"/>
        </w:numPr>
        <w:spacing w:after="60" w:line="245"/>
      </w:pPr>
      <w:r>
        <w:rPr>
          <w:rFonts w:ascii="Arial" w:cs="Arial" w:eastAsia="Arial" w:hAnsi="Arial"/>
          <w:sz w:val="19"/>
          <w:szCs w:val="19"/>
        </w:rPr>
        <w:t xml:space="preserve">Admin, Super Admin and IT Analyst: account/attendance administration, access/configuration governance, audit and technical reliability.</w:t>
      </w:r>
    </w:p>
    <w:p>
      <w:pPr>
        <w:pStyle w:val="Heading1"/>
        <w:keepNext/>
        <w:spacing w:after="100" w:before="280"/>
      </w:pPr>
      <w:r>
        <w:t xml:space="preserve">2. Rules every dashboard follows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300"/>
        <w:gridCol w:w="7060"/>
      </w:tblGrid>
      <w:tr>
        <w:trPr>
          <w:tblHeader/>
        </w:trPr>
        <w:tc>
          <w:tcPr>
            <w:tcW w:type="dxa" w:w="23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Rule</w:t>
            </w:r>
          </w:p>
        </w:tc>
        <w:tc>
          <w:tcPr>
            <w:tcW w:type="dxa" w:w="706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Required behavior</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Work activity is not task state</w:t>
            </w:r>
          </w:p>
        </w:tc>
        <w:tc>
          <w:tcPr>
            <w:tcW w:type="dxa" w:w="70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Notes, effort and files append activity. Task state changes only through an authorised transition: Assigned, In Progress, Waiting for Review, Under Review, Revision Required, Closed.</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One task ID for life</w:t>
            </w:r>
          </w:p>
        </w:tc>
        <w:tc>
          <w:tcPr>
            <w:tcW w:type="dxa" w:w="70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Reassignment appends an owner-history record and preserves prior owner, original due date and overdue history.</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Keep original and current deadlines</w:t>
            </w:r>
          </w:p>
        </w:tc>
        <w:tc>
          <w:tcPr>
            <w:tcW w:type="dxa" w:w="70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An approved extension records a new due-date version; report on-time against both original and current approved dates.</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On-time is at first submission</w:t>
            </w:r>
          </w:p>
        </w:tc>
        <w:tc>
          <w:tcPr>
            <w:tcW w:type="dxa" w:w="70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Measure at first valid submission, not reviewer approval. Show reviewer latency separately.</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No misleading percentages</w:t>
            </w:r>
          </w:p>
        </w:tc>
        <w:tc>
          <w:tcPr>
            <w:tcW w:type="dxa" w:w="70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Zero denominator = N/A. Missing target = Target not configured. Below a configurable minimum (proposed start: 5), show counts, e.g. 3 of 4.</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Keep context visible</w:t>
            </w:r>
          </w:p>
        </w:tc>
        <w:tc>
          <w:tcPr>
            <w:tcW w:type="dxa" w:w="70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Approved leave and external blockers stay labelled and affect only the configured denominator. Show excluded context beside the result.</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Progress entry is a soft signal</w:t>
            </w:r>
          </w:p>
        </w:tc>
        <w:tc>
          <w:tcPr>
            <w:tcW w:type="dxa" w:w="70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Self-reported progress is context, not proof or a scoring input.</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Numbers lead to evidence</w:t>
            </w:r>
          </w:p>
        </w:tc>
        <w:tc>
          <w:tcPr>
            <w:tcW w:type="dxa" w:w="70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Show numerator, denominator, period, scope, definition version and source path to task/request/attendance, activity, evidence, decision and audit.</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Rules are configured and versioned</w:t>
            </w:r>
          </w:p>
        </w:tc>
        <w:tc>
          <w:tcPr>
            <w:tcW w:type="dxa" w:w="70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Targets, thresholds, grace windows, report schedule, weights and retention cannot be hard-coded. Historical periods retain the version used.</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Flags explain themselves</w:t>
            </w:r>
          </w:p>
        </w:tc>
        <w:tc>
          <w:tcPr>
            <w:tcW w:type="dxa" w:w="70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Show the rule, values, source records, next authorised role and condition that clears the flag. People decide.</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CRM owns financial truth</w:t>
            </w:r>
          </w:p>
        </w:tc>
        <w:tc>
          <w:tcPr>
            <w:tcW w:type="dxa" w:w="70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IOTS links internal follow-ups and verified CRM records. The 7.5% royalty calculation uses CRM-sourced party shares; 30/70 is an example until confirmed.</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Limit collection</w:t>
            </w:r>
          </w:p>
        </w:tc>
        <w:tc>
          <w:tcPr>
            <w:tcW w:type="dxa" w:w="70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No keystroke, screen or continuous GPS monitoring. Location only at explicitly required login, check-in or field-task event.</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Audit reports and exports</w:t>
            </w:r>
          </w:p>
        </w:tc>
        <w:tc>
          <w:tcPr>
            <w:tcW w:type="dxa" w:w="70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Record actor, active role, scope, filters, time and export reference for generation/download.</w:t>
            </w:r>
          </w:p>
        </w:tc>
      </w:tr>
    </w:tbl>
    <w:p>
      <w:pPr>
        <w:pStyle w:val="Heading1"/>
        <w:keepNext/>
        <w:spacing w:after="100" w:before="280"/>
      </w:pPr>
      <w:r>
        <w:t xml:space="preserve">3. Shared metric definitions</w:t>
      </w:r>
    </w:p>
    <w:p>
      <w:pPr>
        <w:spacing w:after="90" w:line="270"/>
      </w:pPr>
      <w:r>
        <w:rPr>
          <w:rFonts w:ascii="Arial" w:cs="Arial" w:eastAsia="Arial" w:hAnsi="Arial"/>
          <w:sz w:val="20"/>
          <w:szCs w:val="20"/>
        </w:rPr>
        <w:t xml:space="preserve">Implement each definition once in the backend metric service. Business-hour calculations use the configured office timezone, calendar and holidays. Every result carries its definition version and eligible count.</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250"/>
        <w:gridCol w:w="7110"/>
      </w:tblGrid>
      <w:tr>
        <w:trPr>
          <w:tblHeader/>
        </w:trPr>
        <w:tc>
          <w:tcPr>
            <w:tcW w:type="dxa" w:w="225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Metric</w:t>
            </w:r>
          </w:p>
        </w:tc>
        <w:tc>
          <w:tcPr>
            <w:tcW w:type="dxa" w:w="711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Formula and interpretation</w:t>
            </w:r>
          </w:p>
        </w:tc>
      </w:tr>
      <w:tr>
        <w:tc>
          <w:tcPr>
            <w:tcW w:type="dxa" w:w="22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Completion rate</w:t>
            </w:r>
          </w:p>
        </w:tc>
        <w:tc>
          <w:tcPr>
            <w:tcW w:type="dxa" w:w="71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Tasks closed in period / tasks assigned to person that became due in period. Count once; cancelled tasks excluded and listed. Reassignment attribution rule must be configured.</w:t>
            </w:r>
          </w:p>
        </w:tc>
      </w:tr>
      <w:tr>
        <w:tc>
          <w:tcPr>
            <w:tcW w:type="dxa" w:w="22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On-time delivery</w:t>
            </w:r>
          </w:p>
        </w:tc>
        <w:tc>
          <w:tcPr>
            <w:tcW w:type="dxa" w:w="71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Eligible tasks first submitted on/before due date / eligible first submissions in period. Show current approved due date and original date separately.</w:t>
            </w:r>
          </w:p>
        </w:tc>
      </w:tr>
      <w:tr>
        <w:tc>
          <w:tcPr>
            <w:tcW w:type="dxa" w:w="22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Revision rate</w:t>
            </w:r>
          </w:p>
        </w:tc>
        <w:tc>
          <w:tcPr>
            <w:tcW w:type="dxa" w:w="71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Review decisions requesting changes / review decisions made. Also show average revision decisions per task.</w:t>
            </w:r>
          </w:p>
        </w:tc>
      </w:tr>
      <w:tr>
        <w:tc>
          <w:tcPr>
            <w:tcW w:type="dxa" w:w="22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First-time acceptance</w:t>
            </w:r>
          </w:p>
        </w:tc>
        <w:tc>
          <w:tcPr>
            <w:tcW w:type="dxa" w:w="71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Tasks accepted without a requested change at first review / tasks with a first review decision.</w:t>
            </w:r>
          </w:p>
        </w:tc>
      </w:tr>
      <w:tr>
        <w:tc>
          <w:tcPr>
            <w:tcW w:type="dxa" w:w="22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Overdue rate</w:t>
            </w:r>
          </w:p>
        </w:tc>
        <w:tc>
          <w:tcPr>
            <w:tcW w:type="dxa" w:w="71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Open tasks past current approved due date / eligible open tasks. Show counts and age buckets: 0–1, 2–3, 4–7, over 7 days. Review waiting is separate.</w:t>
            </w:r>
          </w:p>
        </w:tc>
      </w:tr>
      <w:tr>
        <w:tc>
          <w:tcPr>
            <w:tcW w:type="dxa" w:w="22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Elapsed vs effort</w:t>
            </w:r>
          </w:p>
        </w:tc>
        <w:tc>
          <w:tcPr>
            <w:tcW w:type="dxa" w:w="71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Elapsed time = close/as-of time minus assignment time. Active effort = sum of logged minutes. Never combine into one value. Missing effort is Not recorded.</w:t>
            </w:r>
          </w:p>
        </w:tc>
      </w:tr>
      <w:tr>
        <w:tc>
          <w:tcPr>
            <w:tcW w:type="dxa" w:w="22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Update compliance</w:t>
            </w:r>
          </w:p>
        </w:tc>
        <w:tc>
          <w:tcPr>
            <w:tcW w:type="dxa" w:w="71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Active-task workdays with qualifying update / eligible active-task workdays. Approved leave removed from both sides and shown.</w:t>
            </w:r>
          </w:p>
        </w:tc>
      </w:tr>
      <w:tr>
        <w:tc>
          <w:tcPr>
            <w:tcW w:type="dxa" w:w="22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Planned utilisation</w:t>
            </w:r>
          </w:p>
        </w:tc>
        <w:tc>
          <w:tcPr>
            <w:tcW w:type="dxa" w:w="71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Estimated hours on work planned in period / available scheduled hours. Estimate-based; show input coverage.</w:t>
            </w:r>
          </w:p>
        </w:tc>
      </w:tr>
      <w:tr>
        <w:tc>
          <w:tcPr>
            <w:tcW w:type="dxa" w:w="22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Attendance rate</w:t>
            </w:r>
          </w:p>
        </w:tc>
        <w:tc>
          <w:tcPr>
            <w:tcW w:type="dxa" w:w="71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Scheduled days with complete valid attendance / eligible scheduled days after approved leave adjustment. Incomplete punch is flagged, not present.</w:t>
            </w:r>
          </w:p>
        </w:tc>
      </w:tr>
      <w:tr>
        <w:tc>
          <w:tcPr>
            <w:tcW w:type="dxa" w:w="22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Punctuality</w:t>
            </w:r>
          </w:p>
        </w:tc>
        <w:tc>
          <w:tcPr>
            <w:tcW w:type="dxa" w:w="71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Check-ins within configured grace period / days present. Shift and grace settings are versioned.</w:t>
            </w:r>
          </w:p>
        </w:tc>
      </w:tr>
      <w:tr>
        <w:tc>
          <w:tcPr>
            <w:tcW w:type="dxa" w:w="22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Review latency</w:t>
            </w:r>
          </w:p>
        </w:tc>
        <w:tc>
          <w:tcPr>
            <w:tcW w:type="dxa" w:w="71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Business hours between valid submission and review decision; median and p90.</w:t>
            </w:r>
          </w:p>
        </w:tc>
      </w:tr>
      <w:tr>
        <w:tc>
          <w:tcPr>
            <w:tcW w:type="dxa" w:w="22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Request response</w:t>
            </w:r>
          </w:p>
        </w:tc>
        <w:tc>
          <w:tcPr>
            <w:tcW w:type="dxa" w:w="71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Business hours from request to final decision; configured return-for-detail time may pause clock.</w:t>
            </w:r>
          </w:p>
        </w:tc>
      </w:tr>
      <w:tr>
        <w:tc>
          <w:tcPr>
            <w:tcW w:type="dxa" w:w="22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Blocker resolution</w:t>
            </w:r>
          </w:p>
        </w:tc>
        <w:tc>
          <w:tcPr>
            <w:tcW w:type="dxa" w:w="71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Time from issue creation to confirmed resolution; internal/external context separated.</w:t>
            </w:r>
          </w:p>
        </w:tc>
      </w:tr>
      <w:tr>
        <w:tc>
          <w:tcPr>
            <w:tcW w:type="dxa" w:w="22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Evidence completeness</w:t>
            </w:r>
          </w:p>
        </w:tc>
        <w:tc>
          <w:tcPr>
            <w:tcW w:type="dxa" w:w="71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Closed tasks with every required item accepted / closed tasks requiring evidence.</w:t>
            </w:r>
          </w:p>
        </w:tc>
      </w:tr>
      <w:tr>
        <w:tc>
          <w:tcPr>
            <w:tcW w:type="dxa" w:w="22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BDE/Creative measures</w:t>
            </w:r>
          </w:p>
        </w:tc>
        <w:tc>
          <w:tcPr>
            <w:tcW w:type="dxa" w:w="71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Role-specific definitions in role sections; external analytics require verified source, date and source freshness.</w:t>
            </w:r>
          </w:p>
        </w:tc>
      </w:tr>
    </w:tbl>
    <w:p>
      <w:pPr>
        <w:spacing w:after="90" w:line="270"/>
      </w:pPr>
      <w:r>
        <w:rPr>
          <w:rFonts w:ascii="Arial" w:cs="Arial" w:eastAsia="Arial" w:hAnsi="Arial"/>
          <w:sz w:val="20"/>
          <w:szCs w:val="20"/>
        </w:rPr>
        <w:t xml:space="preserve">Periods: current snapshot, week, rolling 30 days, quarter, or custom range only where configured. Missing schedule, stale source, no eligible cohort or missing metric input must be explicitly displayed; do not convert unknown to zero.</w:t>
      </w:r>
    </w:p>
    <w:p>
      <w:pPr>
        <w:pStyle w:val="Heading1"/>
        <w:keepNext/>
        <w:spacing w:after="100" w:before="280"/>
      </w:pPr>
      <w:r>
        <w:t xml:space="preserve">4. Evidence system</w:t>
      </w:r>
    </w:p>
    <w:p>
      <w:pPr>
        <w:spacing w:after="90" w:line="270"/>
      </w:pPr>
      <w:r>
        <w:rPr>
          <w:rFonts w:ascii="Arial" w:cs="Arial" w:eastAsia="Arial" w:hAnsi="Arial"/>
          <w:sz w:val="20"/>
          <w:szCs w:val="20"/>
        </w:rPr>
        <w:t xml:space="preserve">Evidence supports the work record; it is not a continuous employee-monitoring feed. A task cannot enter Waiting for Review until every required checklist item has a submitted item. A task cannot close until an authorised reviewer other than its submitter has accepted each required item and recorded a decision. Rejected and replaced items remain visible.</w:t>
      </w:r>
    </w:p>
    <w:tbl>
      <w:tblPr>
        <w:tblW w:type="dxa" w:w="941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1750"/>
        <w:gridCol w:w="3000"/>
        <w:gridCol w:w="4660"/>
      </w:tblGrid>
      <w:tr>
        <w:trPr>
          <w:tblHeader/>
        </w:trPr>
        <w:tc>
          <w:tcPr>
            <w:tcW w:type="dxa" w:w="175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Type</w:t>
            </w:r>
          </w:p>
        </w:tc>
        <w:tc>
          <w:tcPr>
            <w:tcW w:type="dxa" w:w="30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Example</w:t>
            </w:r>
          </w:p>
        </w:tc>
        <w:tc>
          <w:tcPr>
            <w:tcW w:type="dxa" w:w="466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Required record and check</w:t>
            </w:r>
          </w:p>
        </w:tc>
      </w:tr>
      <w:tr>
        <w:tc>
          <w:tcPr>
            <w:tcW w:type="dxa" w:w="17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Work artifact</w:t>
            </w:r>
          </w:p>
        </w:tc>
        <w:tc>
          <w:tcPr>
            <w:tcW w:type="dxa" w:w="3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Report, deck, spreadsheet, design file or approved link.</w:t>
            </w:r>
          </w:p>
        </w:tc>
        <w:tc>
          <w:tcPr>
            <w:tcW w:type="dxa" w:w="46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Version, storage reference, file hash, submitter/active role/time, checklist item and review decision.</w:t>
            </w:r>
          </w:p>
        </w:tc>
      </w:tr>
      <w:tr>
        <w:tc>
          <w:tcPr>
            <w:tcW w:type="dxa" w:w="17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Location proof</w:t>
            </w:r>
          </w:p>
        </w:tc>
        <w:tc>
          <w:tcPr>
            <w:tcW w:type="dxa" w:w="3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Attendance check or required field-task visit.</w:t>
            </w:r>
          </w:p>
        </w:tc>
        <w:tc>
          <w:tcPr>
            <w:tcW w:type="dxa" w:w="46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Purpose, event time, accuracy and perimeter result, subject to collection/retention policy.</w:t>
            </w:r>
          </w:p>
        </w:tc>
      </w:tr>
      <w:tr>
        <w:tc>
          <w:tcPr>
            <w:tcW w:type="dxa" w:w="17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External confirmation</w:t>
            </w:r>
          </w:p>
        </w:tc>
        <w:tc>
          <w:tcPr>
            <w:tcW w:type="dxa" w:w="3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CRM ID, signed agreement, payment advice, filing receipt.</w:t>
            </w:r>
          </w:p>
        </w:tc>
        <w:tc>
          <w:tcPr>
            <w:tcW w:type="dxa" w:w="46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Source ID and verification time; CRM remains financial truth.</w:t>
            </w:r>
          </w:p>
        </w:tc>
      </w:tr>
      <w:tr>
        <w:tc>
          <w:tcPr>
            <w:tcW w:type="dxa" w:w="17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Outreach log</w:t>
            </w:r>
          </w:p>
        </w:tc>
        <w:tc>
          <w:tcPr>
            <w:tcW w:type="dxa" w:w="3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Dated call, email, meeting and next follow-up.</w:t>
            </w:r>
          </w:p>
        </w:tc>
        <w:tc>
          <w:tcPr>
            <w:tcW w:type="dxa" w:w="46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Contact reference, outcome, time and next action/date.</w:t>
            </w:r>
          </w:p>
        </w:tc>
      </w:tr>
      <w:tr>
        <w:tc>
          <w:tcPr>
            <w:tcW w:type="dxa" w:w="17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Publication proof</w:t>
            </w:r>
          </w:p>
        </w:tc>
        <w:tc>
          <w:tcPr>
            <w:tcW w:type="dxa" w:w="3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Live URL or distribution evidence.</w:t>
            </w:r>
          </w:p>
        </w:tc>
        <w:tc>
          <w:tcPr>
            <w:tcW w:type="dxa" w:w="46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Channel, publish time, linked asset version and reviewer.</w:t>
            </w:r>
          </w:p>
        </w:tc>
      </w:tr>
      <w:tr>
        <w:tc>
          <w:tcPr>
            <w:tcW w:type="dxa" w:w="17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System record</w:t>
            </w:r>
          </w:p>
        </w:tc>
        <w:tc>
          <w:tcPr>
            <w:tcW w:type="dxa" w:w="3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Health probe, incident, deployment, migration.</w:t>
            </w:r>
          </w:p>
        </w:tc>
        <w:tc>
          <w:tcPr>
            <w:tcW w:type="dxa" w:w="46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Service/environment, time, outcome, correlation ID and audit link.</w:t>
            </w:r>
          </w:p>
        </w:tc>
      </w:tr>
      <w:tr>
        <w:tc>
          <w:tcPr>
            <w:tcW w:type="dxa" w:w="17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Decision record</w:t>
            </w:r>
          </w:p>
        </w:tc>
        <w:tc>
          <w:tcPr>
            <w:tcW w:type="dxa" w:w="3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Approval, rejection, return for detail, extension or transfer.</w:t>
            </w:r>
          </w:p>
        </w:tc>
        <w:tc>
          <w:tcPr>
            <w:tcW w:type="dxa" w:w="46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Actor, active role, mandate, reason, time, rule version and affected entity.</w:t>
            </w:r>
          </w:p>
        </w:tc>
      </w:tr>
    </w:tbl>
    <w:p>
      <w:pPr>
        <w:pStyle w:val="Heading2"/>
        <w:keepNext/>
        <w:spacing w:after="100" w:before="180"/>
      </w:pPr>
      <w:r>
        <w:t xml:space="preserve">Evidence fields and gates</w:t>
      </w:r>
    </w:p>
    <w:p>
      <w:pPr>
        <w:shd w:fill="F3F6FA" w:val="clear"/>
        <w:spacing w:after="100" w:before="50" w:line="235"/>
        <w:ind w:left="130" w:right="100"/>
      </w:pPr>
      <w:r>
        <w:rPr>
          <w:rFonts w:ascii="Consolas" w:cs="Consolas" w:eastAsia="Consolas" w:hAnsi="Consolas"/>
          <w:color w:val="243447"/>
          <w:sz w:val="16"/>
          <w:szCs w:val="16"/>
        </w:rPr>
        <w:t xml:space="preserve">{ evidenceId, type, linkedEntity:{kind,id}, checklistItemId, submittedBy, activeRole, submittedAt, version, storageRef, fileHash, status, reviewedBy, reviewedAt, reason, supersedesEvidenceId, retentionClass }</w:t>
      </w:r>
    </w:p>
    <w:p>
      <w:pPr>
        <w:spacing w:after="90" w:line="270"/>
      </w:pPr>
      <w:r>
        <w:rPr>
          <w:rFonts w:ascii="Arial" w:cs="Arial" w:eastAsia="Arial" w:hAnsi="Arial"/>
          <w:sz w:val="20"/>
          <w:szCs w:val="20"/>
        </w:rPr>
        <w:t xml:space="preserve">Statuses: Submitted, Accepted, Rejected, Superseded. New versions link to old versions. Automatic file-format checks do not replace a required human review. Location is captured only for an authorised event; no background collection.</w:t>
      </w:r>
    </w:p>
    <w:p>
      <w:pPr>
        <w:pStyle w:val="Heading1"/>
        <w:keepNext/>
        <w:spacing w:after="100" w:before="280"/>
      </w:pPr>
      <w:r>
        <w:t xml:space="preserve">5. Shared API behavior and examples</w:t>
      </w:r>
    </w:p>
    <w:p>
      <w:pPr>
        <w:spacing w:after="90" w:line="270"/>
      </w:pPr>
      <w:r>
        <w:rPr>
          <w:rFonts w:ascii="Arial" w:cs="Arial" w:eastAsia="Arial" w:hAnsi="Arial"/>
          <w:sz w:val="20"/>
          <w:szCs w:val="20"/>
        </w:rPr>
        <w:t xml:space="preserve">Endpoint names below are proposed for design, not claims of current implementation. The backend must validate scope and authority on every request. Use UTC timestamps, consistent error envelopes, and explicit loading/error/empty/partial-data UI states.</w:t>
      </w:r>
    </w:p>
    <w:p>
      <w:pPr>
        <w:pStyle w:val="Heading2"/>
        <w:keepNext/>
        <w:spacing w:after="100" w:before="180"/>
      </w:pPr>
      <w:r>
        <w:t xml:space="preserve">Metric panel response</w:t>
      </w:r>
    </w:p>
    <w:p>
      <w:pPr>
        <w:shd w:fill="F3F6FA" w:val="clear"/>
        <w:spacing w:after="100" w:before="50" w:line="235"/>
        <w:ind w:left="130" w:right="100"/>
      </w:pPr>
      <w:r>
        <w:rPr>
          <w:rFonts w:ascii="Consolas" w:cs="Consolas" w:eastAsia="Consolas" w:hAnsi="Consolas"/>
          <w:color w:val="243447"/>
          <w:sz w:val="16"/>
          <w:szCs w:val="16"/>
        </w:rPr>
        <w:t xml:space="preserve">{ "data": { "value": 0.86, "display": "86%", "numerator": 43, "denominator": 50, "target": null, "targetDisplay": "Target not configured", "period": {"from":"2026-09-13","to":"2026-10-13"}, "scope": {"kind":"team","id":"team-ops"}, "sampleStatus":"sufficient", "definitionVersion":"on_time.v1", "sourceCount":50, "asOf":"2026-10-13T10:00:00Z", "drilldown":{"href":"/api/v1/tasks?..."} }, "meta":{"requestId":"req-..."} }</w:t>
      </w:r>
    </w:p>
    <w:p>
      <w:pPr>
        <w:pStyle w:val="Heading2"/>
        <w:keepNext/>
        <w:spacing w:after="100" w:before="180"/>
      </w:pPr>
      <w:r>
        <w:t xml:space="preserve">Empty and denied states</w:t>
      </w:r>
    </w:p>
    <w:p>
      <w:pPr>
        <w:shd w:fill="F3F6FA" w:val="clear"/>
        <w:spacing w:after="100" w:before="50" w:line="235"/>
        <w:ind w:left="130" w:right="100"/>
      </w:pPr>
      <w:r>
        <w:rPr>
          <w:rFonts w:ascii="Consolas" w:cs="Consolas" w:eastAsia="Consolas" w:hAnsi="Consolas"/>
          <w:color w:val="243447"/>
          <w:sz w:val="16"/>
          <w:szCs w:val="16"/>
        </w:rPr>
        <w:t xml:space="preserve">{ "data": {"value":null,"display":"N/A","numerator":0,"denominator":0,"targetDisplay":"Target not configured","sampleStatus":"no_data","sourceCount":0} }
{ "error": {"code":"FORBIDDEN","message":"You do not have permission to view this scope.","requestId":"req-..."} }</w:t>
      </w:r>
    </w:p>
    <w:p>
      <w:pPr>
        <w:pStyle w:val="Heading2"/>
        <w:keepNext/>
        <w:spacing w:after="100" w:before="180"/>
      </w:pPr>
      <w:r>
        <w:t xml:space="preserve">Suggested endpoint groups</w:t>
      </w:r>
    </w:p>
    <w:tbl>
      <w:tblPr>
        <w:tblW w:type="dxa" w:w="941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1900"/>
        <w:gridCol w:w="4350"/>
        <w:gridCol w:w="3160"/>
      </w:tblGrid>
      <w:tr>
        <w:trPr>
          <w:tblHeader/>
        </w:trPr>
        <w:tc>
          <w:tcPr>
            <w:tcW w:type="dxa" w:w="19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Area</w:t>
            </w:r>
          </w:p>
        </w:tc>
        <w:tc>
          <w:tcPr>
            <w:tcW w:type="dxa" w:w="435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Examples</w:t>
            </w:r>
          </w:p>
        </w:tc>
        <w:tc>
          <w:tcPr>
            <w:tcW w:type="dxa" w:w="316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Server responsibility</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Identity</w:t>
            </w:r>
          </w:p>
        </w:tc>
        <w:tc>
          <w:tcPr>
            <w:tcW w:type="dxa" w:w="4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GET /api/v1/auth/me; GET /api/v1/me/workspaces; POST /api/v1/auth/logout</w:t>
            </w:r>
          </w:p>
        </w:tc>
        <w:tc>
          <w:tcPr>
            <w:tcW w:type="dxa" w:w="31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Return assigned roles and permitted scopes; ignore client-selected role as authority.</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Tasks/evidence</w:t>
            </w:r>
          </w:p>
        </w:tc>
        <w:tc>
          <w:tcPr>
            <w:tcW w:type="dxa" w:w="4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GET/POST /api/v1/tasks; POST /api/v1/tasks/{id}/activities; POST /api/v1/tasks/{id}/submissions; POST /api/v1/tasks/{id}/reviews</w:t>
            </w:r>
          </w:p>
        </w:tc>
        <w:tc>
          <w:tcPr>
            <w:tcW w:type="dxa" w:w="31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Validate transitions and evidence gates; activities do not mutate state.</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People/attendance</w:t>
            </w:r>
          </w:p>
        </w:tc>
        <w:tc>
          <w:tcPr>
            <w:tcW w:type="dxa" w:w="4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GET /api/v1/teams/{id}/people; GET /api/v1/people/{id}/summary; POST /api/v1/attendance/events</w:t>
            </w:r>
          </w:p>
        </w:tc>
        <w:tc>
          <w:tcPr>
            <w:tcW w:type="dxa" w:w="31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Scope people; append attendance/corrections and preserve original.</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Requests/risks</w:t>
            </w:r>
          </w:p>
        </w:tc>
        <w:tc>
          <w:tcPr>
            <w:tcW w:type="dxa" w:w="4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POST /api/v1/requests; POST /api/v1/requests/{id}/decisions; GET /api/v1/risks</w:t>
            </w:r>
          </w:p>
        </w:tc>
        <w:tc>
          <w:tcPr>
            <w:tcW w:type="dxa" w:w="31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Check mandate, record reason, return rule and source lineage.</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Metrics/reports</w:t>
            </w:r>
          </w:p>
        </w:tc>
        <w:tc>
          <w:tcPr>
            <w:tcW w:type="dxa" w:w="4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GET /api/v1/metrics/{metric}; GET /api/v1/dashboard/{workspace}; GET /api/v1/reports/{period}</w:t>
            </w:r>
          </w:p>
        </w:tc>
        <w:tc>
          <w:tcPr>
            <w:tcW w:type="dxa" w:w="31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Every result includes period/scope/version/counts and drilldown; audit exports.</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CRM/royalty</w:t>
            </w:r>
          </w:p>
        </w:tc>
        <w:tc>
          <w:tcPr>
            <w:tcW w:type="dxa" w:w="4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GET /api/v1/commercial/deals; GET /api/v1/commercial/royalties/reconciliation</w:t>
            </w:r>
          </w:p>
        </w:tc>
        <w:tc>
          <w:tcPr>
            <w:tcW w:type="dxa" w:w="31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Show CRM source freshness and provisional/reconciled status.</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Administration/IT</w:t>
            </w:r>
          </w:p>
        </w:tc>
        <w:tc>
          <w:tcPr>
            <w:tcW w:type="dxa" w:w="4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GET /api/v1/audit/events; GET /api/v1/admin/config-versions; GET /api/v1/it/health</w:t>
            </w:r>
          </w:p>
        </w:tc>
        <w:tc>
          <w:tcPr>
            <w:tcW w:type="dxa" w:w="31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Separate platform privilege from business decisions; redact secrets.</w:t>
            </w:r>
          </w:p>
        </w:tc>
      </w:tr>
    </w:tbl>
    <w:p>
      <w:pPr>
        <w:pStyle w:val="Heading1"/>
        <w:keepNext/>
        <w:spacing w:after="100" w:before="280"/>
      </w:pPr>
      <w:r>
        <w:t xml:space="preserve">6. Role workspace specifications</w:t>
      </w:r>
    </w:p>
    <w:p>
      <w:pPr>
        <w:spacing w:after="90" w:line="270"/>
      </w:pPr>
      <w:r>
        <w:rPr>
          <w:rFonts w:ascii="Arial" w:cs="Arial" w:eastAsia="Arial" w:hAnsi="Arial"/>
          <w:sz w:val="20"/>
          <w:szCs w:val="20"/>
        </w:rPr>
        <w:t xml:space="preserve">Each role workspace below gives the layout, exact measures, source records, period/empty behavior, access rule, risk alerts, evidence responsibilities, example endpoint and example JSON. Example targets are omitted unless approved. The role title never substitutes for server-side authority.</w:t>
      </w:r>
    </w:p>
    <w:p>
      <w:pPr>
        <w:pStyle w:val="Heading2"/>
        <w:keepNext/>
        <w:spacing w:after="100" w:before="180"/>
      </w:pPr>
      <w:r>
        <w:t xml:space="preserve">Executive</w:t>
      </w:r>
    </w:p>
    <w:p>
      <w:pPr>
        <w:spacing w:after="90" w:line="270"/>
      </w:pPr>
      <w:r>
        <w:rPr>
          <w:rFonts w:ascii="Arial" w:cs="Arial" w:eastAsia="Arial" w:hAnsi="Arial"/>
          <w:sz w:val="20"/>
          <w:szCs w:val="20"/>
        </w:rPr>
        <w:t xml:space="preserve">Purpose: Do assigned operational work, record progress and effort, attach required proof, and submit work for review.</w:t>
      </w:r>
    </w:p>
    <w:p>
      <w:pPr>
        <w:pStyle w:val="Heading3"/>
        <w:keepNext/>
        <w:spacing w:after="100" w:before="180"/>
      </w:pPr>
      <w:r>
        <w:t xml:space="preserve">Panels</w:t>
      </w:r>
    </w:p>
    <w:p>
      <w:pPr>
        <w:pStyle w:val="ListParagraph"/>
        <w:numPr>
          <w:ilvl w:val="0"/>
          <w:numId w:val="2"/>
        </w:numPr>
        <w:spacing w:after="60" w:line="245"/>
      </w:pPr>
      <w:r>
        <w:rPr>
          <w:rFonts w:ascii="Arial" w:cs="Arial" w:eastAsia="Arial" w:hAnsi="Arial"/>
          <w:sz w:val="19"/>
          <w:szCs w:val="19"/>
        </w:rPr>
        <w:t xml:space="preserve">My queue: assigned, due soon, overdue, in review.</w:t>
      </w:r>
    </w:p>
    <w:p>
      <w:pPr>
        <w:pStyle w:val="ListParagraph"/>
        <w:numPr>
          <w:ilvl w:val="0"/>
          <w:numId w:val="2"/>
        </w:numPr>
        <w:spacing w:after="60" w:line="245"/>
      </w:pPr>
      <w:r>
        <w:rPr>
          <w:rFonts w:ascii="Arial" w:cs="Arial" w:eastAsia="Arial" w:hAnsi="Arial"/>
          <w:sz w:val="19"/>
          <w:szCs w:val="19"/>
        </w:rPr>
        <w:t xml:space="preserve">Task details: deliverables, reviewer, original/current deadline, checklist, activity and history.</w:t>
      </w:r>
    </w:p>
    <w:p>
      <w:pPr>
        <w:pStyle w:val="ListParagraph"/>
        <w:numPr>
          <w:ilvl w:val="0"/>
          <w:numId w:val="2"/>
        </w:numPr>
        <w:spacing w:after="60" w:line="245"/>
      </w:pPr>
      <w:r>
        <w:rPr>
          <w:rFonts w:ascii="Arial" w:cs="Arial" w:eastAsia="Arial" w:hAnsi="Arial"/>
          <w:sz w:val="19"/>
          <w:szCs w:val="19"/>
        </w:rPr>
        <w:t xml:space="preserve">Evidence and feedback: required items, versions and reviewer reasons.</w:t>
      </w:r>
    </w:p>
    <w:p>
      <w:pPr>
        <w:pStyle w:val="ListParagraph"/>
        <w:numPr>
          <w:ilvl w:val="0"/>
          <w:numId w:val="2"/>
        </w:numPr>
        <w:spacing w:after="60" w:line="245"/>
      </w:pPr>
      <w:r>
        <w:rPr>
          <w:rFonts w:ascii="Arial" w:cs="Arial" w:eastAsia="Arial" w:hAnsi="Arial"/>
          <w:sz w:val="19"/>
          <w:szCs w:val="19"/>
        </w:rPr>
        <w:t xml:space="preserve">My measures: on-time, completion, first acceptance, update compliance, effort versus estimate.</w:t>
      </w:r>
    </w:p>
    <w:p>
      <w:pPr>
        <w:pStyle w:val="ListParagraph"/>
        <w:numPr>
          <w:ilvl w:val="0"/>
          <w:numId w:val="2"/>
        </w:numPr>
        <w:spacing w:after="60" w:line="245"/>
      </w:pPr>
      <w:r>
        <w:rPr>
          <w:rFonts w:ascii="Arial" w:cs="Arial" w:eastAsia="Arial" w:hAnsi="Arial"/>
          <w:sz w:val="19"/>
          <w:szCs w:val="19"/>
        </w:rPr>
        <w:t xml:space="preserve">Attendance and requests: own punch history, leave and request decisions.</w:t>
      </w:r>
    </w:p>
    <w:p>
      <w:pPr>
        <w:pStyle w:val="Heading3"/>
        <w:keepNext/>
        <w:spacing w:after="100" w:before="180"/>
      </w:pPr>
      <w:r>
        <w:t xml:space="preserve">Measures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050"/>
        <w:gridCol w:w="2880"/>
        <w:gridCol w:w="2470"/>
        <w:gridCol w:w="1960"/>
      </w:tblGrid>
      <w:tr>
        <w:trPr>
          <w:tblHeader/>
        </w:trPr>
        <w:tc>
          <w:tcPr>
            <w:tcW w:type="dxa" w:w="205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Metric</w:t>
            </w:r>
          </w:p>
        </w:tc>
        <w:tc>
          <w:tcPr>
            <w:tcW w:type="dxa" w:w="288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Calculation</w:t>
            </w:r>
          </w:p>
        </w:tc>
        <w:tc>
          <w:tcPr>
            <w:tcW w:type="dxa" w:w="247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Source</w:t>
            </w:r>
          </w:p>
        </w:tc>
        <w:tc>
          <w:tcPr>
            <w:tcW w:type="dxa" w:w="196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Period / empty behavior</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Completion</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Closed tasks / eligible assigned tasks due in period.</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Task, assignment and state history.</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Week, 30 days, quarter; N/A if none due.</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On-time</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First valid submissions by due date / eligible submissions; show original and current due-date results.</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Submission and deadline history.</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Week, 30 days, quarter; N/A if no submissions.</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First-time acceptance</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Tasks accepted at first review / tasks with first review decision.</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Review decisions and task ID.</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30 days/quarter; N/A if none.</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Update compliance</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Active-task workdays with qualifying activity / eligible active-task workdays.</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Activity, calendar, approved leave.</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30 days; N/A without eligible days.</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Effort vs estimate</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Logged effort compared with task estimate; elapsed time shown separately.</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Effort records and task estimate.</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Per task/30 days; missing effort = Not recorded.</w:t>
            </w:r>
          </w:p>
        </w:tc>
      </w:tr>
    </w:tbl>
    <w:p>
      <w:pPr>
        <w:spacing w:after="90" w:line="270"/>
      </w:pPr>
      <w:r>
        <w:rPr>
          <w:rFonts w:ascii="Arial" w:cs="Arial" w:eastAsia="Arial" w:hAnsi="Arial"/>
          <w:sz w:val="20"/>
          <w:szCs w:val="20"/>
        </w:rPr>
        <w:t xml:space="preserve">Target: Not set until approved in versioned configuration. Apply zero-denominator and small-sample rules from Section 2.</w:t>
      </w:r>
    </w:p>
    <w:p>
      <w:pPr>
        <w:pStyle w:val="Heading3"/>
        <w:keepNext/>
        <w:spacing w:after="100" w:before="180"/>
      </w:pPr>
      <w:r>
        <w:t xml:space="preserve">Scope, alerts and evidence</w:t>
      </w:r>
    </w:p>
    <w:p>
      <w:pPr>
        <w:spacing w:after="90" w:line="270"/>
      </w:pPr>
      <w:r>
        <w:rPr>
          <w:rFonts w:ascii="Arial" w:cs="Arial" w:eastAsia="Arial" w:hAnsi="Arial"/>
          <w:sz w:val="20"/>
          <w:szCs w:val="20"/>
        </w:rPr>
        <w:t xml:space="preserve">Access: Own profile, assigned tasks, attendance, requests and own evidence. Cannot see peers’ private metrics or approve own evidence.</w:t>
      </w:r>
    </w:p>
    <w:p>
      <w:pPr>
        <w:spacing w:after="90" w:line="270"/>
      </w:pPr>
      <w:r>
        <w:rPr>
          <w:rFonts w:ascii="Arial" w:cs="Arial" w:eastAsia="Arial" w:hAnsi="Arial"/>
          <w:sz w:val="20"/>
          <w:szCs w:val="20"/>
        </w:rPr>
        <w:t xml:space="preserve">Alerts: Due soon without update, overdue, review wait, rejected/missing evidence, blocker, incomplete checkout, pending request.</w:t>
      </w:r>
    </w:p>
    <w:p>
      <w:pPr>
        <w:spacing w:after="90" w:line="270"/>
      </w:pPr>
      <w:r>
        <w:rPr>
          <w:rFonts w:ascii="Arial" w:cs="Arial" w:eastAsia="Arial" w:hAnsi="Arial"/>
          <w:sz w:val="20"/>
          <w:szCs w:val="20"/>
        </w:rPr>
        <w:t xml:space="preserve">Evidence: Creates work artifact, activity/effort, blocker evidence and required field proof; reviewer must be another authorised person.</w:t>
      </w:r>
    </w:p>
    <w:p>
      <w:pPr>
        <w:pStyle w:val="Heading3"/>
        <w:keepNext/>
        <w:spacing w:after="100" w:before="180"/>
      </w:pPr>
      <w:r>
        <w:t xml:space="preserve">API and example response</w:t>
      </w:r>
    </w:p>
    <w:p>
      <w:pPr>
        <w:spacing w:after="90" w:line="270"/>
      </w:pPr>
      <w:r>
        <w:rPr>
          <w:rFonts w:ascii="Arial" w:cs="Arial" w:eastAsia="Arial" w:hAnsi="Arial"/>
          <w:sz w:val="20"/>
          <w:szCs w:val="20"/>
        </w:rPr>
        <w:t xml:space="preserve">GET /api/v1/dashboard/executive; GET /api/v1/me/tasks; POST /api/v1/tasks/{id}/activities; POST /api/v1/tasks/{id}/submissions; POST /api/v1/attendance/events; POST /api/v1/requests</w:t>
      </w:r>
    </w:p>
    <w:p>
      <w:pPr>
        <w:shd w:fill="F3F6FA" w:val="clear"/>
        <w:spacing w:after="100" w:before="50" w:line="235"/>
        <w:ind w:left="130" w:right="100"/>
      </w:pPr>
      <w:r>
        <w:rPr>
          <w:rFonts w:ascii="Consolas" w:cs="Consolas" w:eastAsia="Consolas" w:hAnsi="Consolas"/>
          <w:color w:val="243447"/>
          <w:sz w:val="16"/>
          <w:szCs w:val="16"/>
        </w:rPr>
        <w:t xml:space="preserve">{ "queue": {"open":4,"dueSoon":1,"overdue":0,"waitingForReview":1}, "onTime": {"display":"N/A","numerator":0,"denominator":0,"target":"Target not configured"} }</w:t>
      </w:r>
    </w:p>
    <w:p>
      <w:pPr>
        <w:spacing w:after="90" w:line="270"/>
      </w:pPr>
      <w:r>
        <w:rPr>
          <w:rFonts w:ascii="Arial" w:cs="Arial" w:eastAsia="Arial" w:hAnsi="Arial"/>
          <w:sz w:val="20"/>
          <w:szCs w:val="20"/>
        </w:rPr>
        <w:t xml:space="preserve">Additional fields needed: Task estimates, assignment history, due-date versions, submission versions, activity type/effort, evidence checklist, review events, schedule/leave.</w:t>
      </w:r>
    </w:p>
    <w:p>
      <w:pPr>
        <w:pStyle w:val="Heading2"/>
        <w:keepNext/>
        <w:spacing w:after="100" w:before="180"/>
      </w:pPr>
      <w:r>
        <w:t xml:space="preserve">Business Development Executive (BDE)</w:t>
      </w:r>
    </w:p>
    <w:p>
      <w:pPr>
        <w:spacing w:after="90" w:line="270"/>
      </w:pPr>
      <w:r>
        <w:rPr>
          <w:rFonts w:ascii="Arial" w:cs="Arial" w:eastAsia="Arial" w:hAnsi="Arial"/>
          <w:sz w:val="20"/>
          <w:szCs w:val="20"/>
        </w:rPr>
        <w:t xml:space="preserve">Purpose: Record qualified outreach and follow-through, and link internal activity to verified CRM opportunities.</w:t>
      </w:r>
    </w:p>
    <w:p>
      <w:pPr>
        <w:pStyle w:val="Heading3"/>
        <w:keepNext/>
        <w:spacing w:after="100" w:before="180"/>
      </w:pPr>
      <w:r>
        <w:t xml:space="preserve">Panels</w:t>
      </w:r>
    </w:p>
    <w:p>
      <w:pPr>
        <w:pStyle w:val="ListParagraph"/>
        <w:numPr>
          <w:ilvl w:val="0"/>
          <w:numId w:val="2"/>
        </w:numPr>
        <w:spacing w:after="60" w:line="245"/>
      </w:pPr>
      <w:r>
        <w:rPr>
          <w:rFonts w:ascii="Arial" w:cs="Arial" w:eastAsia="Arial" w:hAnsi="Arial"/>
          <w:sz w:val="19"/>
          <w:szCs w:val="19"/>
        </w:rPr>
        <w:t xml:space="preserve">Prospect queue: verified source, next follow-up, due follow-ups.</w:t>
      </w:r>
    </w:p>
    <w:p>
      <w:pPr>
        <w:pStyle w:val="ListParagraph"/>
        <w:numPr>
          <w:ilvl w:val="0"/>
          <w:numId w:val="2"/>
        </w:numPr>
        <w:spacing w:after="60" w:line="245"/>
      </w:pPr>
      <w:r>
        <w:rPr>
          <w:rFonts w:ascii="Arial" w:cs="Arial" w:eastAsia="Arial" w:hAnsi="Arial"/>
          <w:sz w:val="19"/>
          <w:szCs w:val="19"/>
        </w:rPr>
        <w:t xml:space="preserve">Handoffs: giver, receiver, acceptance, age and return reason.</w:t>
      </w:r>
    </w:p>
    <w:p>
      <w:pPr>
        <w:pStyle w:val="ListParagraph"/>
        <w:numPr>
          <w:ilvl w:val="0"/>
          <w:numId w:val="2"/>
        </w:numPr>
        <w:spacing w:after="60" w:line="245"/>
      </w:pPr>
      <w:r>
        <w:rPr>
          <w:rFonts w:ascii="Arial" w:cs="Arial" w:eastAsia="Arial" w:hAnsi="Arial"/>
          <w:sz w:val="19"/>
          <w:szCs w:val="19"/>
        </w:rPr>
        <w:t xml:space="preserve">Deal follow-up: CRM reference, stage freshness, next action and royalty reconciliation status.</w:t>
      </w:r>
    </w:p>
    <w:p>
      <w:pPr>
        <w:pStyle w:val="ListParagraph"/>
        <w:numPr>
          <w:ilvl w:val="0"/>
          <w:numId w:val="2"/>
        </w:numPr>
        <w:spacing w:after="60" w:line="245"/>
      </w:pPr>
      <w:r>
        <w:rPr>
          <w:rFonts w:ascii="Arial" w:cs="Arial" w:eastAsia="Arial" w:hAnsi="Arial"/>
          <w:sz w:val="19"/>
          <w:szCs w:val="19"/>
        </w:rPr>
        <w:t xml:space="preserve">My measures: outreach, response, follow-up discipline, handoff time and verified outcome.</w:t>
      </w:r>
    </w:p>
    <w:p>
      <w:pPr>
        <w:pStyle w:val="Heading3"/>
        <w:keepNext/>
        <w:spacing w:after="100" w:before="180"/>
      </w:pPr>
      <w:r>
        <w:t xml:space="preserve">Measures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050"/>
        <w:gridCol w:w="2880"/>
        <w:gridCol w:w="2470"/>
        <w:gridCol w:w="1960"/>
      </w:tblGrid>
      <w:tr>
        <w:trPr>
          <w:tblHeader/>
        </w:trPr>
        <w:tc>
          <w:tcPr>
            <w:tcW w:type="dxa" w:w="205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Metric</w:t>
            </w:r>
          </w:p>
        </w:tc>
        <w:tc>
          <w:tcPr>
            <w:tcW w:type="dxa" w:w="288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Calculation</w:t>
            </w:r>
          </w:p>
        </w:tc>
        <w:tc>
          <w:tcPr>
            <w:tcW w:type="dxa" w:w="247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Source</w:t>
            </w:r>
          </w:p>
        </w:tc>
        <w:tc>
          <w:tcPr>
            <w:tcW w:type="dxa" w:w="196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Period / empty behavior</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Verified contacts</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Distinct contacts with required verification fields and accepted source.</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Outreach and contact/source records.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Week/month; deduplicate; N/A if source validation unavailable.</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Follow-up discipline</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Follow-ups completed by due time / follow-ups due.</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Follow-up schedule/events.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Week/30 days; N/A if none due.</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Response rate</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Distinct prospects responding / distinct prospects contacted in cohort.</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Outreach and reply records.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Monthly cohort; show counts under sample minimum.</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Handoff time</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Time from accepted lead receipt to receiving owner acceptance.</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Lead and handoff events.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30 days/quarter; median and p90.</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Verified deal and royalty</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CRM-verified outcome; due = 7.5% × CRM-sourced party brokerage share; collected only when payment is verified.</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CRM snapshot, share version, payment proof.</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Month/quarter; provisional or unreconciled status explicit.</w:t>
            </w:r>
          </w:p>
        </w:tc>
      </w:tr>
    </w:tbl>
    <w:p>
      <w:pPr>
        <w:spacing w:after="90" w:line="270"/>
      </w:pPr>
      <w:r>
        <w:rPr>
          <w:rFonts w:ascii="Arial" w:cs="Arial" w:eastAsia="Arial" w:hAnsi="Arial"/>
          <w:sz w:val="20"/>
          <w:szCs w:val="20"/>
        </w:rPr>
        <w:t xml:space="preserve">Target: Not set until approved in versioned configuration. Apply zero-denominator and small-sample rules from Section 2.</w:t>
      </w:r>
    </w:p>
    <w:p>
      <w:pPr>
        <w:pStyle w:val="Heading3"/>
        <w:keepNext/>
        <w:spacing w:after="100" w:before="180"/>
      </w:pPr>
      <w:r>
        <w:t xml:space="preserve">Scope, alerts and evidence</w:t>
      </w:r>
    </w:p>
    <w:p>
      <w:pPr>
        <w:spacing w:after="90" w:line="270"/>
      </w:pPr>
      <w:r>
        <w:rPr>
          <w:rFonts w:ascii="Arial" w:cs="Arial" w:eastAsia="Arial" w:hAnsi="Arial"/>
          <w:sz w:val="20"/>
          <w:szCs w:val="20"/>
        </w:rPr>
        <w:t xml:space="preserve">Access: Own outreach and assigned leads. Other team or confidential financial details only when explicitly authorised.</w:t>
      </w:r>
    </w:p>
    <w:p>
      <w:pPr>
        <w:spacing w:after="90" w:line="270"/>
      </w:pPr>
      <w:r>
        <w:rPr>
          <w:rFonts w:ascii="Arial" w:cs="Arial" w:eastAsia="Arial" w:hAnsi="Arial"/>
          <w:sz w:val="20"/>
          <w:szCs w:val="20"/>
        </w:rPr>
        <w:t xml:space="preserve">Alerts: Follow-up overdue, handoff unaccepted, stale CRM, missing confirmation, royalty mismatch, client escalation.</w:t>
      </w:r>
    </w:p>
    <w:p>
      <w:pPr>
        <w:spacing w:after="90" w:line="270"/>
      </w:pPr>
      <w:r>
        <w:rPr>
          <w:rFonts w:ascii="Arial" w:cs="Arial" w:eastAsia="Arial" w:hAnsi="Arial"/>
          <w:sz w:val="20"/>
          <w:szCs w:val="20"/>
        </w:rPr>
        <w:t xml:space="preserve">Evidence: Creates dated outreach, next action, meeting/handoff notes, CRM references. Finance confirmation follows configured authority.</w:t>
      </w:r>
    </w:p>
    <w:p>
      <w:pPr>
        <w:pStyle w:val="Heading3"/>
        <w:keepNext/>
        <w:spacing w:after="100" w:before="180"/>
      </w:pPr>
      <w:r>
        <w:t xml:space="preserve">API and example response</w:t>
      </w:r>
    </w:p>
    <w:p>
      <w:pPr>
        <w:spacing w:after="90" w:line="270"/>
      </w:pPr>
      <w:r>
        <w:rPr>
          <w:rFonts w:ascii="Arial" w:cs="Arial" w:eastAsia="Arial" w:hAnsi="Arial"/>
          <w:sz w:val="20"/>
          <w:szCs w:val="20"/>
        </w:rPr>
        <w:t xml:space="preserve">GET /api/v1/dashboard/bde; GET /api/v1/me/outreach; POST /api/v1/outreach; POST /api/v1/leads/{id}/handoffs; GET /api/v1/commercial/royalties/reconciliation</w:t>
      </w:r>
    </w:p>
    <w:p>
      <w:pPr>
        <w:shd w:fill="F3F6FA" w:val="clear"/>
        <w:spacing w:after="100" w:before="50" w:line="235"/>
        <w:ind w:left="130" w:right="100"/>
      </w:pPr>
      <w:r>
        <w:rPr>
          <w:rFonts w:ascii="Consolas" w:cs="Consolas" w:eastAsia="Consolas" w:hAnsi="Consolas"/>
          <w:color w:val="243447"/>
          <w:sz w:val="16"/>
          <w:szCs w:val="16"/>
        </w:rPr>
        <w:t xml:space="preserve">{ "verifiedContacts":12,"followUps":{"due":5,"complete":4},"responseRate":{"display":"3 of 8","numerator":3,"denominator":8},"crmSync":{"status":"CURRENT","asOf":"2026-10-13T08:00:00Z"} }</w:t>
      </w:r>
    </w:p>
    <w:p>
      <w:pPr>
        <w:spacing w:after="90" w:line="270"/>
      </w:pPr>
      <w:r>
        <w:rPr>
          <w:rFonts w:ascii="Arial" w:cs="Arial" w:eastAsia="Arial" w:hAnsi="Arial"/>
          <w:sz w:val="20"/>
          <w:szCs w:val="20"/>
        </w:rPr>
        <w:t xml:space="preserve">Additional fields needed: Contact source and dedupe key, dated outreach/outcome, follow-up timestamps, lead mandate/handoff history, CRM ID/freshness, brokerage shares, royalty version and reconciliation.</w:t>
      </w:r>
    </w:p>
    <w:p>
      <w:pPr>
        <w:pStyle w:val="Heading2"/>
        <w:keepNext/>
        <w:spacing w:after="100" w:before="180"/>
      </w:pPr>
      <w:r>
        <w:t xml:space="preserve">Creatives Communication Associate (design and social views)</w:t>
      </w:r>
    </w:p>
    <w:p>
      <w:pPr>
        <w:spacing w:after="90" w:line="270"/>
      </w:pPr>
      <w:r>
        <w:rPr>
          <w:rFonts w:ascii="Arial" w:cs="Arial" w:eastAsia="Arial" w:hAnsi="Arial"/>
          <w:sz w:val="20"/>
          <w:szCs w:val="20"/>
        </w:rPr>
        <w:t xml:space="preserve">Purpose: Produce, review and publish creative work with visible versions, feedback and publication proof.</w:t>
      </w:r>
    </w:p>
    <w:p>
      <w:pPr>
        <w:pStyle w:val="Heading3"/>
        <w:keepNext/>
        <w:spacing w:after="100" w:before="180"/>
      </w:pPr>
      <w:r>
        <w:t xml:space="preserve">Panels</w:t>
      </w:r>
    </w:p>
    <w:p>
      <w:pPr>
        <w:pStyle w:val="ListParagraph"/>
        <w:numPr>
          <w:ilvl w:val="0"/>
          <w:numId w:val="2"/>
        </w:numPr>
        <w:spacing w:after="60" w:line="245"/>
      </w:pPr>
      <w:r>
        <w:rPr>
          <w:rFonts w:ascii="Arial" w:cs="Arial" w:eastAsia="Arial" w:hAnsi="Arial"/>
          <w:sz w:val="19"/>
          <w:szCs w:val="19"/>
        </w:rPr>
        <w:t xml:space="preserve">Creative queue: brief, owner, reviewer, due date and stage.</w:t>
      </w:r>
    </w:p>
    <w:p>
      <w:pPr>
        <w:pStyle w:val="ListParagraph"/>
        <w:numPr>
          <w:ilvl w:val="0"/>
          <w:numId w:val="2"/>
        </w:numPr>
        <w:spacing w:after="60" w:line="245"/>
      </w:pPr>
      <w:r>
        <w:rPr>
          <w:rFonts w:ascii="Arial" w:cs="Arial" w:eastAsia="Arial" w:hAnsi="Arial"/>
          <w:sz w:val="19"/>
          <w:szCs w:val="19"/>
        </w:rPr>
        <w:t xml:space="preserve">Asset history: versions, proofreading, accepted/rejected evidence.</w:t>
      </w:r>
    </w:p>
    <w:p>
      <w:pPr>
        <w:pStyle w:val="ListParagraph"/>
        <w:numPr>
          <w:ilvl w:val="0"/>
          <w:numId w:val="2"/>
        </w:numPr>
        <w:spacing w:after="60" w:line="245"/>
      </w:pPr>
      <w:r>
        <w:rPr>
          <w:rFonts w:ascii="Arial" w:cs="Arial" w:eastAsia="Arial" w:hAnsi="Arial"/>
          <w:sz w:val="19"/>
          <w:szCs w:val="19"/>
        </w:rPr>
        <w:t xml:space="preserve">Publishing calendar: scheduled versus published, channel and proof.</w:t>
      </w:r>
    </w:p>
    <w:p>
      <w:pPr>
        <w:pStyle w:val="ListParagraph"/>
        <w:numPr>
          <w:ilvl w:val="0"/>
          <w:numId w:val="2"/>
        </w:numPr>
        <w:spacing w:after="60" w:line="245"/>
      </w:pPr>
      <w:r>
        <w:rPr>
          <w:rFonts w:ascii="Arial" w:cs="Arial" w:eastAsia="Arial" w:hAnsi="Arial"/>
          <w:sz w:val="19"/>
          <w:szCs w:val="19"/>
        </w:rPr>
        <w:t xml:space="preserve">Inbound enquiries: assigned owner, response deadline and handoff.</w:t>
      </w:r>
    </w:p>
    <w:p>
      <w:pPr>
        <w:pStyle w:val="ListParagraph"/>
        <w:numPr>
          <w:ilvl w:val="0"/>
          <w:numId w:val="2"/>
        </w:numPr>
        <w:spacing w:after="60" w:line="245"/>
      </w:pPr>
      <w:r>
        <w:rPr>
          <w:rFonts w:ascii="Arial" w:cs="Arial" w:eastAsia="Arial" w:hAnsi="Arial"/>
          <w:sz w:val="19"/>
          <w:szCs w:val="19"/>
        </w:rPr>
        <w:t xml:space="preserve">Measures: on-time assets, revisions, proofing time; engagement is context unless configured.</w:t>
      </w:r>
    </w:p>
    <w:p>
      <w:pPr>
        <w:pStyle w:val="Heading3"/>
        <w:keepNext/>
        <w:spacing w:after="100" w:before="180"/>
      </w:pPr>
      <w:r>
        <w:t xml:space="preserve">Measures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050"/>
        <w:gridCol w:w="2880"/>
        <w:gridCol w:w="2470"/>
        <w:gridCol w:w="1960"/>
      </w:tblGrid>
      <w:tr>
        <w:trPr>
          <w:tblHeader/>
        </w:trPr>
        <w:tc>
          <w:tcPr>
            <w:tcW w:type="dxa" w:w="205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Metric</w:t>
            </w:r>
          </w:p>
        </w:tc>
        <w:tc>
          <w:tcPr>
            <w:tcW w:type="dxa" w:w="288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Calculation</w:t>
            </w:r>
          </w:p>
        </w:tc>
        <w:tc>
          <w:tcPr>
            <w:tcW w:type="dxa" w:w="247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Source</w:t>
            </w:r>
          </w:p>
        </w:tc>
        <w:tc>
          <w:tcPr>
            <w:tcW w:type="dxa" w:w="196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Period / empty behavior</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Asset on-time</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First submission on time / eligible submitted assets; show original and current deadline.</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Brief deadline and asset submissions.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30 days/campaign; N/A if none.</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Revision cycles</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Review cycles per asset and share requiring any revision.</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Version and decision history.</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Month/campaign; N/A if no reviews.</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Proofreading turnaround</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Business hours from proofreading request to decision.</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Request/decision timestamps.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30-day median/p90; N/A if none.</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Publishing adherence</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On-time published items / scheduled items due; show approved cancellations separately.</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Editorial calendar and publication events.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Week/month; N/A if none due.</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Enquiry response</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Responses within configured window / assigned enquiries due.</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Enquiry assignment, response, business calendar.</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30 days; N/A if none.</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Engagement context</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Verified platform interactions/impressions; rate only with approved source definition and target.</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Dated platform analytics snapshot.</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Month/campaign; Source unavailable when stale/missing.</w:t>
            </w:r>
          </w:p>
        </w:tc>
      </w:tr>
    </w:tbl>
    <w:p>
      <w:pPr>
        <w:spacing w:after="90" w:line="270"/>
      </w:pPr>
      <w:r>
        <w:rPr>
          <w:rFonts w:ascii="Arial" w:cs="Arial" w:eastAsia="Arial" w:hAnsi="Arial"/>
          <w:sz w:val="20"/>
          <w:szCs w:val="20"/>
        </w:rPr>
        <w:t xml:space="preserve">Target: Not set until approved in versioned configuration. Apply zero-denominator and small-sample rules from Section 2.</w:t>
      </w:r>
    </w:p>
    <w:p>
      <w:pPr>
        <w:pStyle w:val="Heading3"/>
        <w:keepNext/>
        <w:spacing w:after="100" w:before="180"/>
      </w:pPr>
      <w:r>
        <w:t xml:space="preserve">Scope, alerts and evidence</w:t>
      </w:r>
    </w:p>
    <w:p>
      <w:pPr>
        <w:spacing w:after="90" w:line="270"/>
      </w:pPr>
      <w:r>
        <w:rPr>
          <w:rFonts w:ascii="Arial" w:cs="Arial" w:eastAsia="Arial" w:hAnsi="Arial"/>
          <w:sz w:val="20"/>
          <w:szCs w:val="20"/>
        </w:rPr>
        <w:t xml:space="preserve">Access: Own briefs, assets, publications, assigned enquiries. Engagement is not a performance score absent an approved target and attribution rule.</w:t>
      </w:r>
    </w:p>
    <w:p>
      <w:pPr>
        <w:spacing w:after="90" w:line="270"/>
      </w:pPr>
      <w:r>
        <w:rPr>
          <w:rFonts w:ascii="Arial" w:cs="Arial" w:eastAsia="Arial" w:hAnsi="Arial"/>
          <w:sz w:val="20"/>
          <w:szCs w:val="20"/>
        </w:rPr>
        <w:t xml:space="preserve">Alerts: Draft overdue, review wait, rejected proof, missed post, missing publication proof, unanswered enquiry, stale analytics.</w:t>
      </w:r>
    </w:p>
    <w:p>
      <w:pPr>
        <w:spacing w:after="90" w:line="270"/>
      </w:pPr>
      <w:r>
        <w:rPr>
          <w:rFonts w:ascii="Arial" w:cs="Arial" w:eastAsia="Arial" w:hAnsi="Arial"/>
          <w:sz w:val="20"/>
          <w:szCs w:val="20"/>
        </w:rPr>
        <w:t xml:space="preserve">Evidence: Creates versioned assets, hashes/references, proofreading notes and publication links; reviewer is distinct from submitter.</w:t>
      </w:r>
    </w:p>
    <w:p>
      <w:pPr>
        <w:pStyle w:val="Heading3"/>
        <w:keepNext/>
        <w:spacing w:after="100" w:before="180"/>
      </w:pPr>
      <w:r>
        <w:t xml:space="preserve">API and example response</w:t>
      </w:r>
    </w:p>
    <w:p>
      <w:pPr>
        <w:spacing w:after="90" w:line="270"/>
      </w:pPr>
      <w:r>
        <w:rPr>
          <w:rFonts w:ascii="Arial" w:cs="Arial" w:eastAsia="Arial" w:hAnsi="Arial"/>
          <w:sz w:val="20"/>
          <w:szCs w:val="20"/>
        </w:rPr>
        <w:t xml:space="preserve">GET /api/v1/dashboard/creatives; GET /api/v1/creative-assets; POST /api/v1/creative-assets/{id}/versions; GET /api/v1/publications; POST /api/v1/publications/{id}/proof</w:t>
      </w:r>
    </w:p>
    <w:p>
      <w:pPr>
        <w:shd w:fill="F3F6FA" w:val="clear"/>
        <w:spacing w:after="100" w:before="50" w:line="235"/>
        <w:ind w:left="130" w:right="100"/>
      </w:pPr>
      <w:r>
        <w:rPr>
          <w:rFonts w:ascii="Consolas" w:cs="Consolas" w:eastAsia="Consolas" w:hAnsi="Consolas"/>
          <w:color w:val="243447"/>
          <w:sz w:val="16"/>
          <w:szCs w:val="16"/>
        </w:rPr>
        <w:t xml:space="preserve">{ "assets":{"active":3,"dueSoon":1,"inReview":2},"publication":{"scheduled":6,"onTime":5,"denominator":6},"asset":{"id":"asset-39","version":3,"state":"REVISION_REQUIRED"} }</w:t>
      </w:r>
    </w:p>
    <w:p>
      <w:pPr>
        <w:spacing w:after="90" w:line="270"/>
      </w:pPr>
      <w:r>
        <w:rPr>
          <w:rFonts w:ascii="Arial" w:cs="Arial" w:eastAsia="Arial" w:hAnsi="Arial"/>
          <w:sz w:val="20"/>
          <w:szCs w:val="20"/>
        </w:rPr>
        <w:t xml:space="preserve">Additional fields needed: Asset brief, versions/hash, review decisions, proofing times, editorial schedule/timezone, publication proof/channel, platform snapshot, enquiry assignment/response.</w:t>
      </w:r>
    </w:p>
    <w:p>
      <w:pPr>
        <w:pStyle w:val="Heading2"/>
        <w:keepNext/>
        <w:spacing w:after="100" w:before="180"/>
      </w:pPr>
      <w:r>
        <w:t xml:space="preserve">Lead Manager</w:t>
      </w:r>
    </w:p>
    <w:p>
      <w:pPr>
        <w:spacing w:after="90" w:line="270"/>
      </w:pPr>
      <w:r>
        <w:rPr>
          <w:rFonts w:ascii="Arial" w:cs="Arial" w:eastAsia="Arial" w:hAnsi="Arial"/>
          <w:sz w:val="20"/>
          <w:szCs w:val="20"/>
        </w:rPr>
        <w:t xml:space="preserve">Purpose: Assign work, review deliverables, and resolve day-to-day team exceptions within a configured decision mandate.</w:t>
      </w:r>
    </w:p>
    <w:p>
      <w:pPr>
        <w:pStyle w:val="Heading3"/>
        <w:keepNext/>
        <w:spacing w:after="100" w:before="180"/>
      </w:pPr>
      <w:r>
        <w:t xml:space="preserve">Panels</w:t>
      </w:r>
    </w:p>
    <w:p>
      <w:pPr>
        <w:pStyle w:val="ListParagraph"/>
        <w:numPr>
          <w:ilvl w:val="0"/>
          <w:numId w:val="2"/>
        </w:numPr>
        <w:spacing w:after="60" w:line="245"/>
      </w:pPr>
      <w:r>
        <w:rPr>
          <w:rFonts w:ascii="Arial" w:cs="Arial" w:eastAsia="Arial" w:hAnsi="Arial"/>
          <w:sz w:val="19"/>
          <w:szCs w:val="19"/>
        </w:rPr>
        <w:t xml:space="preserve">Team queue: open, due soon, overdue, blocked by owner.</w:t>
      </w:r>
    </w:p>
    <w:p>
      <w:pPr>
        <w:pStyle w:val="ListParagraph"/>
        <w:numPr>
          <w:ilvl w:val="0"/>
          <w:numId w:val="2"/>
        </w:numPr>
        <w:spacing w:after="60" w:line="245"/>
      </w:pPr>
      <w:r>
        <w:rPr>
          <w:rFonts w:ascii="Arial" w:cs="Arial" w:eastAsia="Arial" w:hAnsi="Arial"/>
          <w:sz w:val="19"/>
          <w:szCs w:val="19"/>
        </w:rPr>
        <w:t xml:space="preserve">Review queue: submission age, evidence completeness and reviewer.</w:t>
      </w:r>
    </w:p>
    <w:p>
      <w:pPr>
        <w:pStyle w:val="ListParagraph"/>
        <w:numPr>
          <w:ilvl w:val="0"/>
          <w:numId w:val="2"/>
        </w:numPr>
        <w:spacing w:after="60" w:line="245"/>
      </w:pPr>
      <w:r>
        <w:rPr>
          <w:rFonts w:ascii="Arial" w:cs="Arial" w:eastAsia="Arial" w:hAnsi="Arial"/>
          <w:sz w:val="19"/>
          <w:szCs w:val="19"/>
        </w:rPr>
        <w:t xml:space="preserve">Team measures: on-time, first acceptance, update compliance and estimate-based load.</w:t>
      </w:r>
    </w:p>
    <w:p>
      <w:pPr>
        <w:pStyle w:val="ListParagraph"/>
        <w:numPr>
          <w:ilvl w:val="0"/>
          <w:numId w:val="2"/>
        </w:numPr>
        <w:spacing w:after="60" w:line="245"/>
      </w:pPr>
      <w:r>
        <w:rPr>
          <w:rFonts w:ascii="Arial" w:cs="Arial" w:eastAsia="Arial" w:hAnsi="Arial"/>
          <w:sz w:val="19"/>
          <w:szCs w:val="19"/>
        </w:rPr>
        <w:t xml:space="preserve">Allocation/transfer history: unassigned work, transfer reason, prior owner and due date.</w:t>
      </w:r>
    </w:p>
    <w:p>
      <w:pPr>
        <w:pStyle w:val="ListParagraph"/>
        <w:numPr>
          <w:ilvl w:val="0"/>
          <w:numId w:val="2"/>
        </w:numPr>
        <w:spacing w:after="60" w:line="245"/>
      </w:pPr>
      <w:r>
        <w:rPr>
          <w:rFonts w:ascii="Arial" w:cs="Arial" w:eastAsia="Arial" w:hAnsi="Arial"/>
          <w:sz w:val="19"/>
          <w:szCs w:val="19"/>
        </w:rPr>
        <w:t xml:space="preserve">Requests and attendance exceptions: pending owner, age and allowed decision.</w:t>
      </w:r>
    </w:p>
    <w:p>
      <w:pPr>
        <w:pStyle w:val="Heading3"/>
        <w:keepNext/>
        <w:spacing w:after="100" w:before="180"/>
      </w:pPr>
      <w:r>
        <w:t xml:space="preserve">Measures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050"/>
        <w:gridCol w:w="2880"/>
        <w:gridCol w:w="2470"/>
        <w:gridCol w:w="1960"/>
      </w:tblGrid>
      <w:tr>
        <w:trPr>
          <w:tblHeader/>
        </w:trPr>
        <w:tc>
          <w:tcPr>
            <w:tcW w:type="dxa" w:w="205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Metric</w:t>
            </w:r>
          </w:p>
        </w:tc>
        <w:tc>
          <w:tcPr>
            <w:tcW w:type="dxa" w:w="288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Calculation</w:t>
            </w:r>
          </w:p>
        </w:tc>
        <w:tc>
          <w:tcPr>
            <w:tcW w:type="dxa" w:w="247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Source</w:t>
            </w:r>
          </w:p>
        </w:tc>
        <w:tc>
          <w:tcPr>
            <w:tcW w:type="dxa" w:w="196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Period / empty behavior</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Allocation time</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Time from brief-ready to task assignment; median/p90 and target compliance if set.</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Brief and task events.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Week/30 days; N/A if no briefs.</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Review latency</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Business time from valid submission to decision; median/p90.</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Submission/decision events.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Current and rolling 30 days.</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First-time acceptance</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Team tasks accepted at first review / tasks receiving a first review decision.</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Review history.</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30 days; small samples as counts.</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Overdue handling</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Time from overdue flag to manager action; show still-open inventory and age.</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Risk and manager decision/activity.</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Current/30 days.</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Request response</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Business time to decision by request type.</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Request event history.</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30 days; N/A if none decided.</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Transfer reason completeness</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Transfers with required reason and authority / total transfers.</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Reassignment records.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30 days; show count and missing reasons.</w:t>
            </w:r>
          </w:p>
        </w:tc>
      </w:tr>
    </w:tbl>
    <w:p>
      <w:pPr>
        <w:spacing w:after="90" w:line="270"/>
      </w:pPr>
      <w:r>
        <w:rPr>
          <w:rFonts w:ascii="Arial" w:cs="Arial" w:eastAsia="Arial" w:hAnsi="Arial"/>
          <w:sz w:val="20"/>
          <w:szCs w:val="20"/>
        </w:rPr>
        <w:t xml:space="preserve">Target: Not set until approved in versioned configuration. Apply zero-denominator and small-sample rules from Section 2.</w:t>
      </w:r>
    </w:p>
    <w:p>
      <w:pPr>
        <w:pStyle w:val="Heading3"/>
        <w:keepNext/>
        <w:spacing w:after="100" w:before="180"/>
      </w:pPr>
      <w:r>
        <w:t xml:space="preserve">Scope, alerts and evidence</w:t>
      </w:r>
    </w:p>
    <w:p>
      <w:pPr>
        <w:spacing w:after="90" w:line="270"/>
      </w:pPr>
      <w:r>
        <w:rPr>
          <w:rFonts w:ascii="Arial" w:cs="Arial" w:eastAsia="Arial" w:hAnsi="Arial"/>
          <w:sz w:val="20"/>
          <w:szCs w:val="20"/>
        </w:rPr>
        <w:t xml:space="preserve">Access: Own team and delegated items only. Assignment, review and decisions require explicit mandate; no system configuration authority from title.</w:t>
      </w:r>
    </w:p>
    <w:p>
      <w:pPr>
        <w:spacing w:after="90" w:line="270"/>
      </w:pPr>
      <w:r>
        <w:rPr>
          <w:rFonts w:ascii="Arial" w:cs="Arial" w:eastAsia="Arial" w:hAnsi="Arial"/>
          <w:sz w:val="20"/>
          <w:szCs w:val="20"/>
        </w:rPr>
        <w:t xml:space="preserve">Alerts: Review backlog, unassigned work, overdue tasks, repeat transfers, blockers, pending requests, attendance exceptions, evidence gate failures.</w:t>
      </w:r>
    </w:p>
    <w:p>
      <w:pPr>
        <w:spacing w:after="90" w:line="270"/>
      </w:pPr>
      <w:r>
        <w:rPr>
          <w:rFonts w:ascii="Arial" w:cs="Arial" w:eastAsia="Arial" w:hAnsi="Arial"/>
          <w:sz w:val="20"/>
          <w:szCs w:val="20"/>
        </w:rPr>
        <w:t xml:space="preserve">Evidence: Creates assignment, review, feedback, extension/transfer and request decision records with reason. Cannot review own submission.</w:t>
      </w:r>
    </w:p>
    <w:p>
      <w:pPr>
        <w:pStyle w:val="Heading3"/>
        <w:keepNext/>
        <w:spacing w:after="100" w:before="180"/>
      </w:pPr>
      <w:r>
        <w:t xml:space="preserve">API and example response</w:t>
      </w:r>
    </w:p>
    <w:p>
      <w:pPr>
        <w:spacing w:after="90" w:line="270"/>
      </w:pPr>
      <w:r>
        <w:rPr>
          <w:rFonts w:ascii="Arial" w:cs="Arial" w:eastAsia="Arial" w:hAnsi="Arial"/>
          <w:sz w:val="20"/>
          <w:szCs w:val="20"/>
        </w:rPr>
        <w:t xml:space="preserve">GET /api/v1/dashboard/lead-manager; GET /api/v1/teams/{id}/tasks; GET /api/v1/reviews/pending; POST /api/v1/tasks/{id}/reviews; POST /api/v1/tasks/{id}/reassignments; GET /api/v1/requests/pending</w:t>
      </w:r>
    </w:p>
    <w:p>
      <w:pPr>
        <w:shd w:fill="F3F6FA" w:val="clear"/>
        <w:spacing w:after="100" w:before="50" w:line="235"/>
        <w:ind w:left="130" w:right="100"/>
      </w:pPr>
      <w:r>
        <w:rPr>
          <w:rFonts w:ascii="Consolas" w:cs="Consolas" w:eastAsia="Consolas" w:hAnsi="Consolas"/>
          <w:color w:val="243447"/>
          <w:sz w:val="16"/>
          <w:szCs w:val="16"/>
        </w:rPr>
        <w:t xml:space="preserve">{ "team":{"open":24,"overdue":3,"waitingForReview":4},"reviewQueue":[{"taskId":"task-812","ageBusinessHours":7,"evidence":{"accepted":2,"required":2}}],"pendingRequests":2 }</w:t>
      </w:r>
    </w:p>
    <w:p>
      <w:pPr>
        <w:spacing w:after="90" w:line="270"/>
      </w:pPr>
      <w:r>
        <w:rPr>
          <w:rFonts w:ascii="Arial" w:cs="Arial" w:eastAsia="Arial" w:hAnsi="Arial"/>
          <w:sz w:val="20"/>
          <w:szCs w:val="20"/>
        </w:rPr>
        <w:t xml:space="preserve">Additional fields needed: Brief-ready times, team membership history, assignment/reviewer history, estimates, due-date versions, review events/reasons, mandate, leave/calendar, manager actions.</w:t>
      </w:r>
    </w:p>
    <w:p>
      <w:pPr>
        <w:pStyle w:val="Heading2"/>
        <w:keepNext/>
        <w:spacing w:after="100" w:before="180"/>
      </w:pPr>
      <w:r>
        <w:t xml:space="preserve">Senior Manager</w:t>
      </w:r>
    </w:p>
    <w:p>
      <w:pPr>
        <w:spacing w:after="90" w:line="270"/>
      </w:pPr>
      <w:r>
        <w:rPr>
          <w:rFonts w:ascii="Arial" w:cs="Arial" w:eastAsia="Arial" w:hAnsi="Arial"/>
          <w:sz w:val="20"/>
          <w:szCs w:val="20"/>
        </w:rPr>
        <w:t xml:space="preserve">Purpose: Balance delivery across authorised teams and decide cross-team risks delegated to this role.</w:t>
      </w:r>
    </w:p>
    <w:p>
      <w:pPr>
        <w:pStyle w:val="Heading3"/>
        <w:keepNext/>
        <w:spacing w:after="100" w:before="180"/>
      </w:pPr>
      <w:r>
        <w:t xml:space="preserve">Panels</w:t>
      </w:r>
    </w:p>
    <w:p>
      <w:pPr>
        <w:pStyle w:val="ListParagraph"/>
        <w:numPr>
          <w:ilvl w:val="0"/>
          <w:numId w:val="2"/>
        </w:numPr>
        <w:spacing w:after="60" w:line="245"/>
      </w:pPr>
      <w:r>
        <w:rPr>
          <w:rFonts w:ascii="Arial" w:cs="Arial" w:eastAsia="Arial" w:hAnsi="Arial"/>
          <w:sz w:val="19"/>
          <w:szCs w:val="19"/>
        </w:rPr>
        <w:t xml:space="preserve">Team comparison: comparable delivery, overdue and queue counts with sample sizes.</w:t>
      </w:r>
    </w:p>
    <w:p>
      <w:pPr>
        <w:pStyle w:val="ListParagraph"/>
        <w:numPr>
          <w:ilvl w:val="0"/>
          <w:numId w:val="2"/>
        </w:numPr>
        <w:spacing w:after="60" w:line="245"/>
      </w:pPr>
      <w:r>
        <w:rPr>
          <w:rFonts w:ascii="Arial" w:cs="Arial" w:eastAsia="Arial" w:hAnsi="Arial"/>
          <w:sz w:val="19"/>
          <w:szCs w:val="19"/>
        </w:rPr>
        <w:t xml:space="preserve">Capacity: estimate-based work and available hours plus data coverage.</w:t>
      </w:r>
    </w:p>
    <w:p>
      <w:pPr>
        <w:pStyle w:val="ListParagraph"/>
        <w:numPr>
          <w:ilvl w:val="0"/>
          <w:numId w:val="2"/>
        </w:numPr>
        <w:spacing w:after="60" w:line="245"/>
      </w:pPr>
      <w:r>
        <w:rPr>
          <w:rFonts w:ascii="Arial" w:cs="Arial" w:eastAsia="Arial" w:hAnsi="Arial"/>
          <w:sz w:val="19"/>
          <w:szCs w:val="19"/>
        </w:rPr>
        <w:t xml:space="preserve">Cross-team risks: blockers, repeated transfers, overdue clusters.</w:t>
      </w:r>
    </w:p>
    <w:p>
      <w:pPr>
        <w:pStyle w:val="ListParagraph"/>
        <w:numPr>
          <w:ilvl w:val="0"/>
          <w:numId w:val="2"/>
        </w:numPr>
        <w:spacing w:after="60" w:line="245"/>
      </w:pPr>
      <w:r>
        <w:rPr>
          <w:rFonts w:ascii="Arial" w:cs="Arial" w:eastAsia="Arial" w:hAnsi="Arial"/>
          <w:sz w:val="19"/>
          <w:szCs w:val="19"/>
        </w:rPr>
        <w:t xml:space="preserve">Decision history: extension, transfer, escalation and reason.</w:t>
      </w:r>
    </w:p>
    <w:p>
      <w:pPr>
        <w:pStyle w:val="Heading3"/>
        <w:keepNext/>
        <w:spacing w:after="100" w:before="180"/>
      </w:pPr>
      <w:r>
        <w:t xml:space="preserve">Measures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050"/>
        <w:gridCol w:w="2880"/>
        <w:gridCol w:w="2470"/>
        <w:gridCol w:w="1960"/>
      </w:tblGrid>
      <w:tr>
        <w:trPr>
          <w:tblHeader/>
        </w:trPr>
        <w:tc>
          <w:tcPr>
            <w:tcW w:type="dxa" w:w="205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Metric</w:t>
            </w:r>
          </w:p>
        </w:tc>
        <w:tc>
          <w:tcPr>
            <w:tcW w:type="dxa" w:w="288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Calculation</w:t>
            </w:r>
          </w:p>
        </w:tc>
        <w:tc>
          <w:tcPr>
            <w:tcW w:type="dxa" w:w="247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Source</w:t>
            </w:r>
          </w:p>
        </w:tc>
        <w:tc>
          <w:tcPr>
            <w:tcW w:type="dxa" w:w="196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Period / empty behavior</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Planned utilisation</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Estimated hours planned / available scheduled hours by team.</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Task estimates, schedule, leave, calendar.</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Week/30 days; N/A if inputs missing; show coverage.</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Deadline risk</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Due-soon/overdue count and eligible open-task rate.</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Task state, due dates, rules.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Current snapshot; N/A rate without open tasks.</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Team on-time</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Standard first-submission calculation grouped by authorised team.</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Submissions and due dates.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30 days/quarter; counts below sample floor.</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Review latency</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Review business-hour median/p90 by team or reviewer.</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Submission/review events.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Current and rolling 30 days.</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Escalation decision time</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Time from routed escalation to authorised decision.</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Escalation/decision history.</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30 days; N/A if none.</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Transfer review</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Repeat transfers and reason completeness.</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Transfer events.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30 days; count when sample small.</w:t>
            </w:r>
          </w:p>
        </w:tc>
      </w:tr>
    </w:tbl>
    <w:p>
      <w:pPr>
        <w:spacing w:after="90" w:line="270"/>
      </w:pPr>
      <w:r>
        <w:rPr>
          <w:rFonts w:ascii="Arial" w:cs="Arial" w:eastAsia="Arial" w:hAnsi="Arial"/>
          <w:sz w:val="20"/>
          <w:szCs w:val="20"/>
        </w:rPr>
        <w:t xml:space="preserve">Target: Not set until approved in versioned configuration. Apply zero-denominator and small-sample rules from Section 2.</w:t>
      </w:r>
    </w:p>
    <w:p>
      <w:pPr>
        <w:pStyle w:val="Heading3"/>
        <w:keepNext/>
        <w:spacing w:after="100" w:before="180"/>
      </w:pPr>
      <w:r>
        <w:t xml:space="preserve">Scope, alerts and evidence</w:t>
      </w:r>
    </w:p>
    <w:p>
      <w:pPr>
        <w:spacing w:after="90" w:line="270"/>
      </w:pPr>
      <w:r>
        <w:rPr>
          <w:rFonts w:ascii="Arial" w:cs="Arial" w:eastAsia="Arial" w:hAnsi="Arial"/>
          <w:sz w:val="20"/>
          <w:szCs w:val="20"/>
        </w:rPr>
        <w:t xml:space="preserve">Access: Teams and escalations assigned by policy. Cross-team actions require mandate. Senior title alone grants no organization-wide data access.</w:t>
      </w:r>
    </w:p>
    <w:p>
      <w:pPr>
        <w:spacing w:after="90" w:line="270"/>
      </w:pPr>
      <w:r>
        <w:rPr>
          <w:rFonts w:ascii="Arial" w:cs="Arial" w:eastAsia="Arial" w:hAnsi="Arial"/>
          <w:sz w:val="20"/>
          <w:szCs w:val="20"/>
        </w:rPr>
        <w:t xml:space="preserve">Alerts: Cross-team blocker, repeated transfer, configured overload, aging escalation, review backlog, external blocker with business impact.</w:t>
      </w:r>
    </w:p>
    <w:p>
      <w:pPr>
        <w:spacing w:after="90" w:line="270"/>
      </w:pPr>
      <w:r>
        <w:rPr>
          <w:rFonts w:ascii="Arial" w:cs="Arial" w:eastAsia="Arial" w:hAnsi="Arial"/>
          <w:sz w:val="20"/>
          <w:szCs w:val="20"/>
        </w:rPr>
        <w:t xml:space="preserve">Evidence: Creates capacity, transfer, extension and escalation decisions with reason; sees source items only in scope.</w:t>
      </w:r>
    </w:p>
    <w:p>
      <w:pPr>
        <w:pStyle w:val="Heading3"/>
        <w:keepNext/>
        <w:spacing w:after="100" w:before="180"/>
      </w:pPr>
      <w:r>
        <w:t xml:space="preserve">API and example response</w:t>
      </w:r>
    </w:p>
    <w:p>
      <w:pPr>
        <w:spacing w:after="90" w:line="270"/>
      </w:pPr>
      <w:r>
        <w:rPr>
          <w:rFonts w:ascii="Arial" w:cs="Arial" w:eastAsia="Arial" w:hAnsi="Arial"/>
          <w:sz w:val="20"/>
          <w:szCs w:val="20"/>
        </w:rPr>
        <w:t xml:space="preserve">GET /api/v1/dashboard/senior-manager; GET /api/v1/teams/comparison; GET /api/v1/capacity; GET /api/v1/escalations; POST /api/v1/escalations/{id}/decisions</w:t>
      </w:r>
    </w:p>
    <w:p>
      <w:pPr>
        <w:shd w:fill="F3F6FA" w:val="clear"/>
        <w:spacing w:after="100" w:before="50" w:line="235"/>
        <w:ind w:left="130" w:right="100"/>
      </w:pPr>
      <w:r>
        <w:rPr>
          <w:rFonts w:ascii="Consolas" w:cs="Consolas" w:eastAsia="Consolas" w:hAnsi="Consolas"/>
          <w:color w:val="243447"/>
          <w:sz w:val="16"/>
          <w:szCs w:val="16"/>
        </w:rPr>
        <w:t xml:space="preserve">{ "teams":[{"teamId":"team-ops","onTime":{"display":"18 of 22","numerator":18,"denominator":22},"overdue":2,"load":{"display":"Target not configured","coverage":0.82}}],"openEscalations":3 }</w:t>
      </w:r>
    </w:p>
    <w:p>
      <w:pPr>
        <w:spacing w:after="90" w:line="270"/>
      </w:pPr>
      <w:r>
        <w:rPr>
          <w:rFonts w:ascii="Arial" w:cs="Arial" w:eastAsia="Arial" w:hAnsi="Arial"/>
          <w:sz w:val="20"/>
          <w:szCs w:val="20"/>
        </w:rPr>
        <w:t xml:space="preserve">Additional fields needed: Team membership, schedules/capacity, estimates, rule versions, mandates, transfer/extension decision history, reasons and source references.</w:t>
      </w:r>
    </w:p>
    <w:p>
      <w:pPr>
        <w:pStyle w:val="Heading2"/>
        <w:keepNext/>
        <w:spacing w:after="100" w:before="180"/>
      </w:pPr>
      <w:r>
        <w:t xml:space="preserve">General Manager</w:t>
      </w:r>
    </w:p>
    <w:p>
      <w:pPr>
        <w:spacing w:after="90" w:line="270"/>
      </w:pPr>
      <w:r>
        <w:rPr>
          <w:rFonts w:ascii="Arial" w:cs="Arial" w:eastAsia="Arial" w:hAnsi="Arial"/>
          <w:sz w:val="20"/>
          <w:szCs w:val="20"/>
        </w:rPr>
        <w:t xml:space="preserve">Purpose: Coordinate organization-wide operations and inspect employee delivery, exceptions and governance within configured authority.</w:t>
      </w:r>
    </w:p>
    <w:p>
      <w:pPr>
        <w:pStyle w:val="Heading3"/>
        <w:keepNext/>
        <w:spacing w:after="100" w:before="180"/>
      </w:pPr>
      <w:r>
        <w:t xml:space="preserve">Panels</w:t>
      </w:r>
    </w:p>
    <w:p>
      <w:pPr>
        <w:pStyle w:val="ListParagraph"/>
        <w:numPr>
          <w:ilvl w:val="0"/>
          <w:numId w:val="2"/>
        </w:numPr>
        <w:spacing w:after="60" w:line="245"/>
      </w:pPr>
      <w:r>
        <w:rPr>
          <w:rFonts w:ascii="Arial" w:cs="Arial" w:eastAsia="Arial" w:hAnsi="Arial"/>
          <w:sz w:val="19"/>
          <w:szCs w:val="19"/>
        </w:rPr>
        <w:t xml:space="preserve">Organization summary: delivery, open risk, attendance exceptions, royalty reconciliation, data completeness.</w:t>
      </w:r>
    </w:p>
    <w:p>
      <w:pPr>
        <w:pStyle w:val="ListParagraph"/>
        <w:numPr>
          <w:ilvl w:val="0"/>
          <w:numId w:val="2"/>
        </w:numPr>
        <w:spacing w:after="60" w:line="245"/>
      </w:pPr>
      <w:r>
        <w:rPr>
          <w:rFonts w:ascii="Arial" w:cs="Arial" w:eastAsia="Arial" w:hAnsi="Arial"/>
          <w:sz w:val="19"/>
          <w:szCs w:val="19"/>
        </w:rPr>
        <w:t xml:space="preserve">Employee monitor: declared availability, attendance, open/overdue/due-soon tasks, review wait, last qualifying activity, blockers, requests and 30-day metrics.</w:t>
      </w:r>
    </w:p>
    <w:p>
      <w:pPr>
        <w:pStyle w:val="ListParagraph"/>
        <w:numPr>
          <w:ilvl w:val="0"/>
          <w:numId w:val="2"/>
        </w:numPr>
        <w:spacing w:after="60" w:line="245"/>
      </w:pPr>
      <w:r>
        <w:rPr>
          <w:rFonts w:ascii="Arial" w:cs="Arial" w:eastAsia="Arial" w:hAnsi="Arial"/>
          <w:sz w:val="19"/>
          <w:szCs w:val="19"/>
        </w:rPr>
        <w:t xml:space="preserve">Employee detail: task history, workload, review context, approved leave and evidence.</w:t>
      </w:r>
    </w:p>
    <w:p>
      <w:pPr>
        <w:pStyle w:val="ListParagraph"/>
        <w:numPr>
          <w:ilvl w:val="0"/>
          <w:numId w:val="2"/>
        </w:numPr>
        <w:spacing w:after="60" w:line="245"/>
      </w:pPr>
      <w:r>
        <w:rPr>
          <w:rFonts w:ascii="Arial" w:cs="Arial" w:eastAsia="Arial" w:hAnsi="Arial"/>
          <w:sz w:val="19"/>
          <w:szCs w:val="19"/>
        </w:rPr>
        <w:t xml:space="preserve">Governance/finance tracker: board actions, filings, invoices, agreements and membership funnel.</w:t>
      </w:r>
    </w:p>
    <w:p>
      <w:pPr>
        <w:pStyle w:val="ListParagraph"/>
        <w:numPr>
          <w:ilvl w:val="0"/>
          <w:numId w:val="2"/>
        </w:numPr>
        <w:spacing w:after="60" w:line="245"/>
      </w:pPr>
      <w:r>
        <w:rPr>
          <w:rFonts w:ascii="Arial" w:cs="Arial" w:eastAsia="Arial" w:hAnsi="Arial"/>
          <w:sz w:val="19"/>
          <w:szCs w:val="19"/>
        </w:rPr>
        <w:t xml:space="preserve">Decision queue: only items within GM mandate, with source evidence and age.</w:t>
      </w:r>
    </w:p>
    <w:p>
      <w:pPr>
        <w:pStyle w:val="Heading3"/>
        <w:keepNext/>
        <w:spacing w:after="100" w:before="180"/>
      </w:pPr>
      <w:r>
        <w:t xml:space="preserve">Measures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050"/>
        <w:gridCol w:w="2880"/>
        <w:gridCol w:w="2470"/>
        <w:gridCol w:w="1960"/>
      </w:tblGrid>
      <w:tr>
        <w:trPr>
          <w:tblHeader/>
        </w:trPr>
        <w:tc>
          <w:tcPr>
            <w:tcW w:type="dxa" w:w="205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Metric</w:t>
            </w:r>
          </w:p>
        </w:tc>
        <w:tc>
          <w:tcPr>
            <w:tcW w:type="dxa" w:w="288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Calculation</w:t>
            </w:r>
          </w:p>
        </w:tc>
        <w:tc>
          <w:tcPr>
            <w:tcW w:type="dxa" w:w="247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Source</w:t>
            </w:r>
          </w:p>
        </w:tc>
        <w:tc>
          <w:tcPr>
            <w:tcW w:type="dxa" w:w="196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Period / empty behavior</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Employee task measures</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Completion, on-time at first submission, revision and first acceptance using shared definitions.</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Task/submission/review history.</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30 days/quarter; show counts, sample and due-date basis.</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Overdue inventory</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Open overdue by employee/age; separate review wait.</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Task and review events.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Current plus historical as-of.</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Attendance context</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Attendance/punctuality and permitted onsite/remote/unknown event counts.</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Schedule, attendance and explicit location checks.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Day/30 days; N/A if no schedule; no continuous location.</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Availability freshness</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Declared status and time since last update.</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Availability events.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Live as-of; stale/unknown if missing.</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Governance completion</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Completed obligations / obligations due; show open/late and evidence.</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Governance calendar, board/compliance records.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Month/quarter; N/A if none; target unset until approved.</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Royalty reconciliation</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Due = 7.5% × each CRM-sourced party share; collected verified amount; outstanding = due less verified allocation.</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CRM snapshot, payment proof, reconciliation.</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Month/quarter; show stale/unreconciled amounts.</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Membership funnel</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Distinct records by configured stage and cohort conversion.</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CRM/membership stage history.</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Month/quarter; N/A if no cohort.</w:t>
            </w:r>
          </w:p>
        </w:tc>
      </w:tr>
    </w:tbl>
    <w:p>
      <w:pPr>
        <w:spacing w:after="90" w:line="270"/>
      </w:pPr>
      <w:r>
        <w:rPr>
          <w:rFonts w:ascii="Arial" w:cs="Arial" w:eastAsia="Arial" w:hAnsi="Arial"/>
          <w:sz w:val="20"/>
          <w:szCs w:val="20"/>
        </w:rPr>
        <w:t xml:space="preserve">Target: Not set until approved in versioned configuration. Apply zero-denominator and small-sample rules from Section 2.</w:t>
      </w:r>
    </w:p>
    <w:p>
      <w:pPr>
        <w:pStyle w:val="Heading3"/>
        <w:keepNext/>
        <w:spacing w:after="100" w:before="180"/>
      </w:pPr>
      <w:r>
        <w:t xml:space="preserve">Scope, alerts and evidence</w:t>
      </w:r>
    </w:p>
    <w:p>
      <w:pPr>
        <w:spacing w:after="90" w:line="270"/>
      </w:pPr>
      <w:r>
        <w:rPr>
          <w:rFonts w:ascii="Arial" w:cs="Arial" w:eastAsia="Arial" w:hAnsi="Arial"/>
          <w:sz w:val="20"/>
          <w:szCs w:val="20"/>
        </w:rPr>
        <w:t xml:space="preserve">Access: Employee detail only within explicit organizational mandate. Sensitive HR/financial fields require separate permissions. Cannot change platform configuration or decide outside mandate.</w:t>
      </w:r>
    </w:p>
    <w:p>
      <w:pPr>
        <w:spacing w:after="90" w:line="270"/>
      </w:pPr>
      <w:r>
        <w:rPr>
          <w:rFonts w:ascii="Arial" w:cs="Arial" w:eastAsia="Arial" w:hAnsi="Arial"/>
          <w:sz w:val="20"/>
          <w:szCs w:val="20"/>
        </w:rPr>
        <w:t xml:space="preserve">Alerts: Overdue cluster, cross-team blocker, stale governance item, attendance exception, aging request, missing CRM sync, royalty variance, declining source completeness.</w:t>
      </w:r>
    </w:p>
    <w:p>
      <w:pPr>
        <w:spacing w:after="90" w:line="270"/>
      </w:pPr>
      <w:r>
        <w:rPr>
          <w:rFonts w:ascii="Arial" w:cs="Arial" w:eastAsia="Arial" w:hAnsi="Arial"/>
          <w:sz w:val="20"/>
          <w:szCs w:val="20"/>
        </w:rPr>
        <w:t xml:space="preserve">Evidence: Creates cross-team decision/governance records where authorised. Financial evidence verification follows configured finance authority.</w:t>
      </w:r>
    </w:p>
    <w:p>
      <w:pPr>
        <w:pStyle w:val="Heading3"/>
        <w:keepNext/>
        <w:spacing w:after="100" w:before="180"/>
      </w:pPr>
      <w:r>
        <w:t xml:space="preserve">API and example response</w:t>
      </w:r>
    </w:p>
    <w:p>
      <w:pPr>
        <w:spacing w:after="90" w:line="270"/>
      </w:pPr>
      <w:r>
        <w:rPr>
          <w:rFonts w:ascii="Arial" w:cs="Arial" w:eastAsia="Arial" w:hAnsi="Arial"/>
          <w:sz w:val="20"/>
          <w:szCs w:val="20"/>
        </w:rPr>
        <w:t xml:space="preserve">GET /api/v1/dashboard/general-manager; GET /api/v1/organization/employees; GET /api/v1/people/{id}/summary; GET /api/v1/governance/items; GET /api/v1/commercial/royalties/reconciliation</w:t>
      </w:r>
    </w:p>
    <w:p>
      <w:pPr>
        <w:shd w:fill="F3F6FA" w:val="clear"/>
        <w:spacing w:after="100" w:before="50" w:line="235"/>
        <w:ind w:left="130" w:right="100"/>
      </w:pPr>
      <w:r>
        <w:rPr>
          <w:rFonts w:ascii="Consolas" w:cs="Consolas" w:eastAsia="Consolas" w:hAnsi="Consolas"/>
          <w:color w:val="243447"/>
          <w:sz w:val="16"/>
          <w:szCs w:val="16"/>
        </w:rPr>
        <w:t xml:space="preserve">{ "org":{"onTime":{"display":"43 of 50"},"overdueOpen":7,"attendanceExceptions":2,"dataCompleteness":{"available":8,"expected":10}},"employees":[{"id":"emp-104","availability":"Available","open":6,"overdue":1,"dueSoon":2,"reviewWait":1,"lastActivityAt":"2026-10-13T09:15:00Z","pendingRequests":0,"riskIds":["risk-91"]}]}</w:t>
      </w:r>
    </w:p>
    <w:p>
      <w:pPr>
        <w:spacing w:after="90" w:line="270"/>
      </w:pPr>
      <w:r>
        <w:rPr>
          <w:rFonts w:ascii="Arial" w:cs="Arial" w:eastAsia="Arial" w:hAnsi="Arial"/>
          <w:sz w:val="20"/>
          <w:szCs w:val="20"/>
        </w:rPr>
        <w:t xml:space="preserve">Additional fields needed: Employee/team permission scope, availability history, schedule/punch/leave events, qualifying activity rule, task/review/blocker/request records, governance obligations, CRM version and royalty reconciliation.</w:t>
      </w:r>
    </w:p>
    <w:p>
      <w:pPr>
        <w:pStyle w:val="Heading2"/>
        <w:keepNext/>
        <w:spacing w:after="100" w:before="180"/>
      </w:pPr>
      <w:r>
        <w:t xml:space="preserve">Chairman</w:t>
      </w:r>
    </w:p>
    <w:p>
      <w:pPr>
        <w:spacing w:after="90" w:line="270"/>
      </w:pPr>
      <w:r>
        <w:rPr>
          <w:rFonts w:ascii="Arial" w:cs="Arial" w:eastAsia="Arial" w:hAnsi="Arial"/>
          <w:sz w:val="20"/>
          <w:szCs w:val="20"/>
        </w:rPr>
        <w:t xml:space="preserve">Purpose: Read organization health quickly, inspect material exceptions, royalty status and recognition decisions, and open summaries to source records.</w:t>
      </w:r>
    </w:p>
    <w:p>
      <w:pPr>
        <w:pStyle w:val="Heading3"/>
        <w:keepNext/>
        <w:spacing w:after="100" w:before="180"/>
      </w:pPr>
      <w:r>
        <w:t xml:space="preserve">Panels</w:t>
      </w:r>
    </w:p>
    <w:p>
      <w:pPr>
        <w:pStyle w:val="ListParagraph"/>
        <w:numPr>
          <w:ilvl w:val="0"/>
          <w:numId w:val="2"/>
        </w:numPr>
        <w:spacing w:after="60" w:line="245"/>
      </w:pPr>
      <w:r>
        <w:rPr>
          <w:rFonts w:ascii="Arial" w:cs="Arial" w:eastAsia="Arial" w:hAnsi="Arial"/>
          <w:sz w:val="19"/>
          <w:szCs w:val="19"/>
        </w:rPr>
        <w:t xml:space="preserve">Health summary: on-time, completion and overdue counts with period and completeness.</w:t>
      </w:r>
    </w:p>
    <w:p>
      <w:pPr>
        <w:pStyle w:val="ListParagraph"/>
        <w:numPr>
          <w:ilvl w:val="0"/>
          <w:numId w:val="2"/>
        </w:numPr>
        <w:spacing w:after="60" w:line="245"/>
      </w:pPr>
      <w:r>
        <w:rPr>
          <w:rFonts w:ascii="Arial" w:cs="Arial" w:eastAsia="Arial" w:hAnsi="Arial"/>
          <w:sz w:val="19"/>
          <w:szCs w:val="19"/>
        </w:rPr>
        <w:t xml:space="preserve">Needs attention: overdue clusters, repeated transfers, important blockers and accountable next role.</w:t>
      </w:r>
    </w:p>
    <w:p>
      <w:pPr>
        <w:pStyle w:val="ListParagraph"/>
        <w:numPr>
          <w:ilvl w:val="0"/>
          <w:numId w:val="2"/>
        </w:numPr>
        <w:spacing w:after="60" w:line="245"/>
      </w:pPr>
      <w:r>
        <w:rPr>
          <w:rFonts w:ascii="Arial" w:cs="Arial" w:eastAsia="Arial" w:hAnsi="Arial"/>
          <w:sz w:val="19"/>
          <w:szCs w:val="19"/>
        </w:rPr>
        <w:t xml:space="preserve">Royalty position: due, collected, outstanding and unreconciled by period/zone.</w:t>
      </w:r>
    </w:p>
    <w:p>
      <w:pPr>
        <w:pStyle w:val="ListParagraph"/>
        <w:numPr>
          <w:ilvl w:val="0"/>
          <w:numId w:val="2"/>
        </w:numPr>
        <w:spacing w:after="60" w:line="245"/>
      </w:pPr>
      <w:r>
        <w:rPr>
          <w:rFonts w:ascii="Arial" w:cs="Arial" w:eastAsia="Arial" w:hAnsi="Arial"/>
          <w:sz w:val="19"/>
          <w:szCs w:val="19"/>
        </w:rPr>
        <w:t xml:space="preserve">Attendance context: aggregate scheduled attendance and exception counts.</w:t>
      </w:r>
    </w:p>
    <w:p>
      <w:pPr>
        <w:pStyle w:val="ListParagraph"/>
        <w:numPr>
          <w:ilvl w:val="0"/>
          <w:numId w:val="2"/>
        </w:numPr>
        <w:spacing w:after="60" w:line="245"/>
      </w:pPr>
      <w:r>
        <w:rPr>
          <w:rFonts w:ascii="Arial" w:cs="Arial" w:eastAsia="Arial" w:hAnsi="Arial"/>
          <w:sz w:val="19"/>
          <w:szCs w:val="19"/>
        </w:rPr>
        <w:t xml:space="preserve">Recognition decisions: eligibility evidence pack and authorised sign-off.</w:t>
      </w:r>
    </w:p>
    <w:p>
      <w:pPr>
        <w:pStyle w:val="ListParagraph"/>
        <w:numPr>
          <w:ilvl w:val="0"/>
          <w:numId w:val="2"/>
        </w:numPr>
        <w:spacing w:after="60" w:line="245"/>
      </w:pPr>
      <w:r>
        <w:rPr>
          <w:rFonts w:ascii="Arial" w:cs="Arial" w:eastAsia="Arial" w:hAnsi="Arial"/>
          <w:sz w:val="19"/>
          <w:szCs w:val="19"/>
        </w:rPr>
        <w:t xml:space="preserve">Data completeness: available versus expected source coverage.</w:t>
      </w:r>
    </w:p>
    <w:p>
      <w:pPr>
        <w:pStyle w:val="Heading3"/>
        <w:keepNext/>
        <w:spacing w:after="100" w:before="180"/>
      </w:pPr>
      <w:r>
        <w:t xml:space="preserve">Measures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050"/>
        <w:gridCol w:w="2880"/>
        <w:gridCol w:w="2470"/>
        <w:gridCol w:w="1960"/>
      </w:tblGrid>
      <w:tr>
        <w:trPr>
          <w:tblHeader/>
        </w:trPr>
        <w:tc>
          <w:tcPr>
            <w:tcW w:type="dxa" w:w="205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Metric</w:t>
            </w:r>
          </w:p>
        </w:tc>
        <w:tc>
          <w:tcPr>
            <w:tcW w:type="dxa" w:w="288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Calculation</w:t>
            </w:r>
          </w:p>
        </w:tc>
        <w:tc>
          <w:tcPr>
            <w:tcW w:type="dxa" w:w="247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Source</w:t>
            </w:r>
          </w:p>
        </w:tc>
        <w:tc>
          <w:tcPr>
            <w:tcW w:type="dxa" w:w="196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Period / empty behavior</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Enterprise on-time/completion</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Shared calculation across authorised organization scope.</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Task/submission/closure records.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30 days/quarter with counts and versions.</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Overdue clusters/transfers</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Open overdue by age/team and repeat transfer count.</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Task and reassignment history.</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Current plus chosen period.</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Open blockers</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Count by severity, business impact, age and owner.</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Issue and decision records.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Current snapshot; show clear condition.</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Royalty position</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7.5% × verified CRM party share; collected payment confirmations; difference.</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CRM, payment evidence and reconciliation.</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Month/quarter; label provisional/stale/unreconciled.</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Attendance summary</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Aggregate attendance and explicit location-check context only.</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Attendance, schedule, leave and corrections.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Day/30 days; no continuous location.</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Recognition queue</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Qualifying periods and inputs under an approved versioned policy.</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Recognition calculations and evidence.</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Monthly; “Not configured/insufficient data” until approved.</w:t>
            </w:r>
          </w:p>
        </w:tc>
      </w:tr>
    </w:tbl>
    <w:p>
      <w:pPr>
        <w:spacing w:after="90" w:line="270"/>
      </w:pPr>
      <w:r>
        <w:rPr>
          <w:rFonts w:ascii="Arial" w:cs="Arial" w:eastAsia="Arial" w:hAnsi="Arial"/>
          <w:sz w:val="20"/>
          <w:szCs w:val="20"/>
        </w:rPr>
        <w:t xml:space="preserve">Target: Not set until approved in versioned configuration. Apply zero-denominator and small-sample rules from Section 2.</w:t>
      </w:r>
    </w:p>
    <w:p>
      <w:pPr>
        <w:pStyle w:val="Heading3"/>
        <w:keepNext/>
        <w:spacing w:after="100" w:before="180"/>
      </w:pPr>
      <w:r>
        <w:t xml:space="preserve">Scope, alerts and evidence</w:t>
      </w:r>
    </w:p>
    <w:p>
      <w:pPr>
        <w:spacing w:after="90" w:line="270"/>
      </w:pPr>
      <w:r>
        <w:rPr>
          <w:rFonts w:ascii="Arial" w:cs="Arial" w:eastAsia="Arial" w:hAnsi="Arial"/>
          <w:sz w:val="20"/>
          <w:szCs w:val="20"/>
        </w:rPr>
        <w:t xml:space="preserve">Access: Enterprise summaries and explicitly authorised decision evidence. Drilldown/export permission-checked and audited. No routine operational micro-management by default.</w:t>
      </w:r>
    </w:p>
    <w:p>
      <w:pPr>
        <w:spacing w:after="90" w:line="270"/>
      </w:pPr>
      <w:r>
        <w:rPr>
          <w:rFonts w:ascii="Arial" w:cs="Arial" w:eastAsia="Arial" w:hAnsi="Arial"/>
          <w:sz w:val="20"/>
          <w:szCs w:val="20"/>
        </w:rPr>
        <w:t xml:space="preserve">Alerts: Material overdue cluster, high-impact blocker, royalty mismatch, recognition decision due, critical governance item, stale source.</w:t>
      </w:r>
    </w:p>
    <w:p>
      <w:pPr>
        <w:spacing w:after="90" w:line="270"/>
      </w:pPr>
      <w:r>
        <w:rPr>
          <w:rFonts w:ascii="Arial" w:cs="Arial" w:eastAsia="Arial" w:hAnsi="Arial"/>
          <w:sz w:val="20"/>
          <w:szCs w:val="20"/>
        </w:rPr>
        <w:t xml:space="preserve">Evidence: Creates executive directives and recognition decisions with rationale. Does not rewrite task or financial source records.</w:t>
      </w:r>
    </w:p>
    <w:p>
      <w:pPr>
        <w:pStyle w:val="Heading3"/>
        <w:keepNext/>
        <w:spacing w:after="100" w:before="180"/>
      </w:pPr>
      <w:r>
        <w:t xml:space="preserve">API and example response</w:t>
      </w:r>
    </w:p>
    <w:p>
      <w:pPr>
        <w:spacing w:after="90" w:line="270"/>
      </w:pPr>
      <w:r>
        <w:rPr>
          <w:rFonts w:ascii="Arial" w:cs="Arial" w:eastAsia="Arial" w:hAnsi="Arial"/>
          <w:sz w:val="20"/>
          <w:szCs w:val="20"/>
        </w:rPr>
        <w:t xml:space="preserve">GET /api/v1/dashboard/chairman; GET /api/v1/risks?scope=enterprise; GET /api/v1/commercial/royalties/reconciliation; GET /api/v1/recognition/review-queue; POST /api/v1/recognition/{id}/decisions</w:t>
      </w:r>
    </w:p>
    <w:p>
      <w:pPr>
        <w:shd w:fill="F3F6FA" w:val="clear"/>
        <w:spacing w:after="100" w:before="50" w:line="235"/>
        <w:ind w:left="130" w:right="100"/>
      </w:pPr>
      <w:r>
        <w:rPr>
          <w:rFonts w:ascii="Consolas" w:cs="Consolas" w:eastAsia="Consolas" w:hAnsi="Consolas"/>
          <w:color w:val="243447"/>
          <w:sz w:val="16"/>
          <w:szCs w:val="16"/>
        </w:rPr>
        <w:t xml:space="preserve">{ "health":{"onTime":{"display":"43 of 50"},"overdue":{"open":7,"olderThan7Days":1},"highImpactBlockers":2},"royalties":{"due":42000,"collected":30000,"outstanding":8000,"unreconciled":4000,"sourceAsOf":"2026-10-12T18:00:00Z"},"recognitionQueue":1,"dataCompleteness":{"available":8,"expected":10}}</w:t>
      </w:r>
    </w:p>
    <w:p>
      <w:pPr>
        <w:spacing w:after="90" w:line="270"/>
      </w:pPr>
      <w:r>
        <w:rPr>
          <w:rFonts w:ascii="Arial" w:cs="Arial" w:eastAsia="Arial" w:hAnsi="Arial"/>
          <w:sz w:val="20"/>
          <w:szCs w:val="20"/>
        </w:rPr>
        <w:t xml:space="preserve">Additional fields needed: Enterprise metric lineage/rule version, issue impact, owner history, CRM source and payment reconciliation, permission-scoped attendance aggregate, recognition inputs and export audit.</w:t>
      </w:r>
    </w:p>
    <w:p>
      <w:pPr>
        <w:pStyle w:val="Heading2"/>
        <w:keepNext/>
        <w:spacing w:after="100" w:before="180"/>
      </w:pPr>
      <w:r>
        <w:t xml:space="preserve">Admin</w:t>
      </w:r>
    </w:p>
    <w:p>
      <w:pPr>
        <w:spacing w:after="90" w:line="270"/>
      </w:pPr>
      <w:r>
        <w:rPr>
          <w:rFonts w:ascii="Arial" w:cs="Arial" w:eastAsia="Arial" w:hAnsi="Arial"/>
          <w:sz w:val="20"/>
          <w:szCs w:val="20"/>
        </w:rPr>
        <w:t xml:space="preserve">Purpose: Provision accounts, keep profiles and attendance records accurate, manage delegated office settings and send announcements.</w:t>
      </w:r>
    </w:p>
    <w:p>
      <w:pPr>
        <w:pStyle w:val="Heading3"/>
        <w:keepNext/>
        <w:spacing w:after="100" w:before="180"/>
      </w:pPr>
      <w:r>
        <w:t xml:space="preserve">Panels</w:t>
      </w:r>
    </w:p>
    <w:p>
      <w:pPr>
        <w:pStyle w:val="ListParagraph"/>
        <w:numPr>
          <w:ilvl w:val="0"/>
          <w:numId w:val="2"/>
        </w:numPr>
        <w:spacing w:after="60" w:line="245"/>
      </w:pPr>
      <w:r>
        <w:rPr>
          <w:rFonts w:ascii="Arial" w:cs="Arial" w:eastAsia="Arial" w:hAnsi="Arial"/>
          <w:sz w:val="19"/>
          <w:szCs w:val="19"/>
        </w:rPr>
        <w:t xml:space="preserve">Provisioning queue: age, required profile fields and assigned roles.</w:t>
      </w:r>
    </w:p>
    <w:p>
      <w:pPr>
        <w:pStyle w:val="ListParagraph"/>
        <w:numPr>
          <w:ilvl w:val="0"/>
          <w:numId w:val="2"/>
        </w:numPr>
        <w:spacing w:after="60" w:line="245"/>
      </w:pPr>
      <w:r>
        <w:rPr>
          <w:rFonts w:ascii="Arial" w:cs="Arial" w:eastAsia="Arial" w:hAnsi="Arial"/>
          <w:sz w:val="19"/>
          <w:szCs w:val="19"/>
        </w:rPr>
        <w:t xml:space="preserve">Attendance exceptions: missing/incorrect punches, correction owner and history.</w:t>
      </w:r>
    </w:p>
    <w:p>
      <w:pPr>
        <w:pStyle w:val="ListParagraph"/>
        <w:numPr>
          <w:ilvl w:val="0"/>
          <w:numId w:val="2"/>
        </w:numPr>
        <w:spacing w:after="60" w:line="245"/>
      </w:pPr>
      <w:r>
        <w:rPr>
          <w:rFonts w:ascii="Arial" w:cs="Arial" w:eastAsia="Arial" w:hAnsi="Arial"/>
          <w:sz w:val="19"/>
          <w:szCs w:val="19"/>
        </w:rPr>
        <w:t xml:space="preserve">Office settings: perimeter versions, effective dates and reasons.</w:t>
      </w:r>
    </w:p>
    <w:p>
      <w:pPr>
        <w:pStyle w:val="ListParagraph"/>
        <w:numPr>
          <w:ilvl w:val="0"/>
          <w:numId w:val="2"/>
        </w:numPr>
        <w:spacing w:after="60" w:line="245"/>
      </w:pPr>
      <w:r>
        <w:rPr>
          <w:rFonts w:ascii="Arial" w:cs="Arial" w:eastAsia="Arial" w:hAnsi="Arial"/>
          <w:sz w:val="19"/>
          <w:szCs w:val="19"/>
        </w:rPr>
        <w:t xml:space="preserve">Announcements: audience, delivery confirmation and date.</w:t>
      </w:r>
    </w:p>
    <w:p>
      <w:pPr>
        <w:pStyle w:val="Heading3"/>
        <w:keepNext/>
        <w:spacing w:after="100" w:before="180"/>
      </w:pPr>
      <w:r>
        <w:t xml:space="preserve">Measures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050"/>
        <w:gridCol w:w="2880"/>
        <w:gridCol w:w="2470"/>
        <w:gridCol w:w="1960"/>
      </w:tblGrid>
      <w:tr>
        <w:trPr>
          <w:tblHeader/>
        </w:trPr>
        <w:tc>
          <w:tcPr>
            <w:tcW w:type="dxa" w:w="205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Metric</w:t>
            </w:r>
          </w:p>
        </w:tc>
        <w:tc>
          <w:tcPr>
            <w:tcW w:type="dxa" w:w="288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Calculation</w:t>
            </w:r>
          </w:p>
        </w:tc>
        <w:tc>
          <w:tcPr>
            <w:tcW w:type="dxa" w:w="247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Source</w:t>
            </w:r>
          </w:p>
        </w:tc>
        <w:tc>
          <w:tcPr>
            <w:tcW w:type="dxa" w:w="196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Period / empty behavior</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Provisioning time</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Account enable time − approved request time; separate waits for missing information.</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Provisioning/account events.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30 days median/p90; target not set.</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Profile completeness</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Present required fields / required fields for active profiles in scope.</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Profile and policy version.</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Current; N/A if no profiles.</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Exception age</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Time open for attendance correction; counts by age.</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Exception and correction events.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Current/30 days; N/A if none.</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Announcement delivery</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Confirmed deliveries / intended recipients where channel supplies receipts.</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Audience and delivery events.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Per announcement; show missing receipts.</w:t>
            </w:r>
          </w:p>
        </w:tc>
      </w:tr>
    </w:tbl>
    <w:p>
      <w:pPr>
        <w:spacing w:after="90" w:line="270"/>
      </w:pPr>
      <w:r>
        <w:rPr>
          <w:rFonts w:ascii="Arial" w:cs="Arial" w:eastAsia="Arial" w:hAnsi="Arial"/>
          <w:sz w:val="20"/>
          <w:szCs w:val="20"/>
        </w:rPr>
        <w:t xml:space="preserve">Target: Not set until approved in versioned configuration. Apply zero-denominator and small-sample rules from Section 2.</w:t>
      </w:r>
    </w:p>
    <w:p>
      <w:pPr>
        <w:pStyle w:val="Heading3"/>
        <w:keepNext/>
        <w:spacing w:after="100" w:before="180"/>
      </w:pPr>
      <w:r>
        <w:t xml:space="preserve">Scope, alerts and evidence</w:t>
      </w:r>
    </w:p>
    <w:p>
      <w:pPr>
        <w:spacing w:after="90" w:line="270"/>
      </w:pPr>
      <w:r>
        <w:rPr>
          <w:rFonts w:ascii="Arial" w:cs="Arial" w:eastAsia="Arial" w:hAnsi="Arial"/>
          <w:sz w:val="20"/>
          <w:szCs w:val="20"/>
        </w:rPr>
        <w:t xml:space="preserve">Access: Profiles, attendance exceptions and office settings explicitly delegated. Admin privilege alone does not grant business approval or unrestricted performance records.</w:t>
      </w:r>
    </w:p>
    <w:p>
      <w:pPr>
        <w:spacing w:after="90" w:line="270"/>
      </w:pPr>
      <w:r>
        <w:rPr>
          <w:rFonts w:ascii="Arial" w:cs="Arial" w:eastAsia="Arial" w:hAnsi="Arial"/>
          <w:sz w:val="20"/>
          <w:szCs w:val="20"/>
        </w:rPr>
        <w:t xml:space="preserve">Alerts: Aging provisioning, incomplete profile, unresolved correction, perimeter change, delivery failure.</w:t>
      </w:r>
    </w:p>
    <w:p>
      <w:pPr>
        <w:spacing w:after="90" w:line="270"/>
      </w:pPr>
      <w:r>
        <w:rPr>
          <w:rFonts w:ascii="Arial" w:cs="Arial" w:eastAsia="Arial" w:hAnsi="Arial"/>
          <w:sz w:val="20"/>
          <w:szCs w:val="20"/>
        </w:rPr>
        <w:t xml:space="preserve">Evidence: Creates onboarding, correction and announcement records. Corrections link to and preserve original attendance event.</w:t>
      </w:r>
    </w:p>
    <w:p>
      <w:pPr>
        <w:pStyle w:val="Heading3"/>
        <w:keepNext/>
        <w:spacing w:after="100" w:before="180"/>
      </w:pPr>
      <w:r>
        <w:t xml:space="preserve">API and example response</w:t>
      </w:r>
    </w:p>
    <w:p>
      <w:pPr>
        <w:spacing w:after="90" w:line="270"/>
      </w:pPr>
      <w:r>
        <w:rPr>
          <w:rFonts w:ascii="Arial" w:cs="Arial" w:eastAsia="Arial" w:hAnsi="Arial"/>
          <w:sz w:val="20"/>
          <w:szCs w:val="20"/>
        </w:rPr>
        <w:t xml:space="preserve">GET /api/v1/admin/dashboard; GET /api/v1/admin/provisioning; GET /api/v1/attendance/exceptions; POST /api/v1/attendance/{id}/corrections; GET /api/v1/admin/offices</w:t>
      </w:r>
    </w:p>
    <w:p>
      <w:pPr>
        <w:shd w:fill="F3F6FA" w:val="clear"/>
        <w:spacing w:after="100" w:before="50" w:line="235"/>
        <w:ind w:left="130" w:right="100"/>
      </w:pPr>
      <w:r>
        <w:rPr>
          <w:rFonts w:ascii="Consolas" w:cs="Consolas" w:eastAsia="Consolas" w:hAnsi="Consolas"/>
          <w:color w:val="243447"/>
          <w:sz w:val="16"/>
          <w:szCs w:val="16"/>
        </w:rPr>
        <w:t xml:space="preserve">{ "provisioning":{"pending":2,"oldestAgeHours":4},"exceptions":[{"id":"attx-6","type":"MISSING_CHECKOUT","status":"OPEN","ageHours":2}],"officeConfig":{"version":"office-hyd.v3","changedAt":"2026-10-01T09:00:00Z"}}</w:t>
      </w:r>
    </w:p>
    <w:p>
      <w:pPr>
        <w:spacing w:after="90" w:line="270"/>
      </w:pPr>
      <w:r>
        <w:rPr>
          <w:rFonts w:ascii="Arial" w:cs="Arial" w:eastAsia="Arial" w:hAnsi="Arial"/>
          <w:sz w:val="20"/>
          <w:szCs w:val="20"/>
        </w:rPr>
        <w:t xml:space="preserve">Additional fields needed: Provisioning approvals, field completeness rules, office boundary version/effective date, explicit location events/accuracy, correction linkage/reason, announcement audience/receipt.</w:t>
      </w:r>
    </w:p>
    <w:p>
      <w:pPr>
        <w:pStyle w:val="Heading2"/>
        <w:keepNext/>
        <w:spacing w:after="100" w:before="180"/>
      </w:pPr>
      <w:r>
        <w:t xml:space="preserve">Super Admin</w:t>
      </w:r>
    </w:p>
    <w:p>
      <w:pPr>
        <w:spacing w:after="90" w:line="270"/>
      </w:pPr>
      <w:r>
        <w:rPr>
          <w:rFonts w:ascii="Arial" w:cs="Arial" w:eastAsia="Arial" w:hAnsi="Arial"/>
          <w:sz w:val="20"/>
          <w:szCs w:val="20"/>
        </w:rPr>
        <w:t xml:space="preserve">Purpose: Govern platform roles and configuration, and review privileged access, audit integrity and exports.</w:t>
      </w:r>
    </w:p>
    <w:p>
      <w:pPr>
        <w:pStyle w:val="Heading3"/>
        <w:keepNext/>
        <w:spacing w:after="100" w:before="180"/>
      </w:pPr>
      <w:r>
        <w:t xml:space="preserve">Panels</w:t>
      </w:r>
    </w:p>
    <w:p>
      <w:pPr>
        <w:pStyle w:val="ListParagraph"/>
        <w:numPr>
          <w:ilvl w:val="0"/>
          <w:numId w:val="2"/>
        </w:numPr>
        <w:spacing w:after="60" w:line="245"/>
      </w:pPr>
      <w:r>
        <w:rPr>
          <w:rFonts w:ascii="Arial" w:cs="Arial" w:eastAsia="Arial" w:hAnsi="Arial"/>
          <w:sz w:val="19"/>
          <w:szCs w:val="19"/>
        </w:rPr>
        <w:t xml:space="preserve">Privileged access review: role assignments, grantor, approver, expiry and last review.</w:t>
      </w:r>
    </w:p>
    <w:p>
      <w:pPr>
        <w:pStyle w:val="ListParagraph"/>
        <w:numPr>
          <w:ilvl w:val="0"/>
          <w:numId w:val="2"/>
        </w:numPr>
        <w:spacing w:after="60" w:line="245"/>
      </w:pPr>
      <w:r>
        <w:rPr>
          <w:rFonts w:ascii="Arial" w:cs="Arial" w:eastAsia="Arial" w:hAnsi="Arial"/>
          <w:sz w:val="19"/>
          <w:szCs w:val="19"/>
        </w:rPr>
        <w:t xml:space="preserve">Configuration history: before/after, reason, approver, version and effective date.</w:t>
      </w:r>
    </w:p>
    <w:p>
      <w:pPr>
        <w:pStyle w:val="ListParagraph"/>
        <w:numPr>
          <w:ilvl w:val="0"/>
          <w:numId w:val="2"/>
        </w:numPr>
        <w:spacing w:after="60" w:line="245"/>
      </w:pPr>
      <w:r>
        <w:rPr>
          <w:rFonts w:ascii="Arial" w:cs="Arial" w:eastAsia="Arial" w:hAnsi="Arial"/>
          <w:sz w:val="19"/>
          <w:szCs w:val="19"/>
        </w:rPr>
        <w:t xml:space="preserve">Audit/export ledger: actor, active role, purpose, scope and artifact reference.</w:t>
      </w:r>
    </w:p>
    <w:p>
      <w:pPr>
        <w:pStyle w:val="ListParagraph"/>
        <w:numPr>
          <w:ilvl w:val="0"/>
          <w:numId w:val="2"/>
        </w:numPr>
        <w:spacing w:after="60" w:line="245"/>
      </w:pPr>
      <w:r>
        <w:rPr>
          <w:rFonts w:ascii="Arial" w:cs="Arial" w:eastAsia="Arial" w:hAnsi="Arial"/>
          <w:sz w:val="19"/>
          <w:szCs w:val="19"/>
        </w:rPr>
        <w:t xml:space="preserve">Governance exceptions: missing rationale, overdue review and integrity check.</w:t>
      </w:r>
    </w:p>
    <w:p>
      <w:pPr>
        <w:pStyle w:val="Heading3"/>
        <w:keepNext/>
        <w:spacing w:after="100" w:before="180"/>
      </w:pPr>
      <w:r>
        <w:t xml:space="preserve">Measures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050"/>
        <w:gridCol w:w="2880"/>
        <w:gridCol w:w="2470"/>
        <w:gridCol w:w="1960"/>
      </w:tblGrid>
      <w:tr>
        <w:trPr>
          <w:tblHeader/>
        </w:trPr>
        <w:tc>
          <w:tcPr>
            <w:tcW w:type="dxa" w:w="205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Metric</w:t>
            </w:r>
          </w:p>
        </w:tc>
        <w:tc>
          <w:tcPr>
            <w:tcW w:type="dxa" w:w="288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Calculation</w:t>
            </w:r>
          </w:p>
        </w:tc>
        <w:tc>
          <w:tcPr>
            <w:tcW w:type="dxa" w:w="247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Source</w:t>
            </w:r>
          </w:p>
        </w:tc>
        <w:tc>
          <w:tcPr>
            <w:tcW w:type="dxa" w:w="196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Period / empty behavior</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Access review completion</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Reviewed privileged assignments / assignments due for review.</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Role grants and review events.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Configured cycle; N/A if none due.</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Unapproved privilege changes</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Count of changes lacking required authority.</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Access/config audit history.</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Current/period; policy goal configured.</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Rationale completeness</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Config changes with required reason/approver / changes.</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Config version and decision records.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30 days; N/A if no changes.</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Export accountability</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Exports with actor, role, scope, purpose and artifact reference / exports.</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Export audit.</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30 days; N/A if none.</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Audit integrity</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Successful integrity checks / checks run; last verification and failures.</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Integrity validation events.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Current; unavailable if no check mechanism.</w:t>
            </w:r>
          </w:p>
        </w:tc>
      </w:tr>
    </w:tbl>
    <w:p>
      <w:pPr>
        <w:spacing w:after="90" w:line="270"/>
      </w:pPr>
      <w:r>
        <w:rPr>
          <w:rFonts w:ascii="Arial" w:cs="Arial" w:eastAsia="Arial" w:hAnsi="Arial"/>
          <w:sz w:val="20"/>
          <w:szCs w:val="20"/>
        </w:rPr>
        <w:t xml:space="preserve">Target: Not set until approved in versioned configuration. Apply zero-denominator and small-sample rules from Section 2.</w:t>
      </w:r>
    </w:p>
    <w:p>
      <w:pPr>
        <w:pStyle w:val="Heading3"/>
        <w:keepNext/>
        <w:spacing w:after="100" w:before="180"/>
      </w:pPr>
      <w:r>
        <w:t xml:space="preserve">Scope, alerts and evidence</w:t>
      </w:r>
    </w:p>
    <w:p>
      <w:pPr>
        <w:spacing w:after="90" w:line="270"/>
      </w:pPr>
      <w:r>
        <w:rPr>
          <w:rFonts w:ascii="Arial" w:cs="Arial" w:eastAsia="Arial" w:hAnsi="Arial"/>
          <w:sz w:val="20"/>
          <w:szCs w:val="20"/>
        </w:rPr>
        <w:t xml:space="preserve">Access: Platform configuration and audit scope by policy. Cannot approve business work, leave or deal terms solely by platform access.</w:t>
      </w:r>
    </w:p>
    <w:p>
      <w:pPr>
        <w:spacing w:after="90" w:line="270"/>
      </w:pPr>
      <w:r>
        <w:rPr>
          <w:rFonts w:ascii="Arial" w:cs="Arial" w:eastAsia="Arial" w:hAnsi="Arial"/>
          <w:sz w:val="20"/>
          <w:szCs w:val="20"/>
        </w:rPr>
        <w:t xml:space="preserve">Alerts: Unreviewed privileged access, change without reason, unusual bulk export, integrity failure, expired elevated access.</w:t>
      </w:r>
    </w:p>
    <w:p>
      <w:pPr>
        <w:spacing w:after="90" w:line="270"/>
      </w:pPr>
      <w:r>
        <w:rPr>
          <w:rFonts w:ascii="Arial" w:cs="Arial" w:eastAsia="Arial" w:hAnsi="Arial"/>
          <w:sz w:val="20"/>
          <w:szCs w:val="20"/>
        </w:rPr>
        <w:t xml:space="preserve">Evidence: Creates access review and configuration decisions with reason/approver; audit reads and exports are themselves logged.</w:t>
      </w:r>
    </w:p>
    <w:p>
      <w:pPr>
        <w:pStyle w:val="Heading3"/>
        <w:keepNext/>
        <w:spacing w:after="100" w:before="180"/>
      </w:pPr>
      <w:r>
        <w:t xml:space="preserve">API and example response</w:t>
      </w:r>
    </w:p>
    <w:p>
      <w:pPr>
        <w:spacing w:after="90" w:line="270"/>
      </w:pPr>
      <w:r>
        <w:rPr>
          <w:rFonts w:ascii="Arial" w:cs="Arial" w:eastAsia="Arial" w:hAnsi="Arial"/>
          <w:sz w:val="20"/>
          <w:szCs w:val="20"/>
        </w:rPr>
        <w:t xml:space="preserve">GET /api/v1/super-admin/dashboard; GET /api/v1/admin/access-reviews; GET /api/v1/admin/config-versions; GET /api/v1/audit/events; GET /api/v1/audit/exports</w:t>
      </w:r>
    </w:p>
    <w:p>
      <w:pPr>
        <w:shd w:fill="F3F6FA" w:val="clear"/>
        <w:spacing w:after="100" w:before="50" w:line="235"/>
        <w:ind w:left="130" w:right="100"/>
      </w:pPr>
      <w:r>
        <w:rPr>
          <w:rFonts w:ascii="Consolas" w:cs="Consolas" w:eastAsia="Consolas" w:hAnsi="Consolas"/>
          <w:color w:val="243447"/>
          <w:sz w:val="16"/>
          <w:szCs w:val="16"/>
        </w:rPr>
        <w:t xml:space="preserve">{ "accessReview":{"due":12,"complete":10,"open":2},"configChanges":[{"id":"cfg-31","setting":"metric.minimumSample","version":4,"reason":"Approved policy change"}],"auditIntegrity":{"status":"verified","checkedAt":"2026-10-13T09:00:00Z"}}</w:t>
      </w:r>
    </w:p>
    <w:p>
      <w:pPr>
        <w:spacing w:after="90" w:line="270"/>
      </w:pPr>
      <w:r>
        <w:rPr>
          <w:rFonts w:ascii="Arial" w:cs="Arial" w:eastAsia="Arial" w:hAnsi="Arial"/>
          <w:sz w:val="20"/>
          <w:szCs w:val="20"/>
        </w:rPr>
        <w:t xml:space="preserve">Additional fields needed: Role grant actor/mandate, review cadence, config diff and effective version, export purpose/scope/hash, integrity results and elevated access expiry.</w:t>
      </w:r>
    </w:p>
    <w:p>
      <w:pPr>
        <w:pStyle w:val="Heading2"/>
        <w:keepNext/>
        <w:spacing w:after="100" w:before="180"/>
      </w:pPr>
      <w:r>
        <w:t xml:space="preserve">IT System Analyst</w:t>
      </w:r>
    </w:p>
    <w:p>
      <w:pPr>
        <w:spacing w:after="90" w:line="270"/>
      </w:pPr>
      <w:r>
        <w:rPr>
          <w:rFonts w:ascii="Arial" w:cs="Arial" w:eastAsia="Arial" w:hAnsi="Arial"/>
          <w:sz w:val="20"/>
          <w:szCs w:val="20"/>
        </w:rPr>
        <w:t xml:space="preserve">Purpose: Maintain reliable services and investigate technical issues through service telemetry.</w:t>
      </w:r>
    </w:p>
    <w:p>
      <w:pPr>
        <w:pStyle w:val="Heading3"/>
        <w:keepNext/>
        <w:spacing w:after="100" w:before="180"/>
      </w:pPr>
      <w:r>
        <w:t xml:space="preserve">Panels</w:t>
      </w:r>
    </w:p>
    <w:p>
      <w:pPr>
        <w:pStyle w:val="ListParagraph"/>
        <w:numPr>
          <w:ilvl w:val="0"/>
          <w:numId w:val="2"/>
        </w:numPr>
        <w:spacing w:after="60" w:line="245"/>
      </w:pPr>
      <w:r>
        <w:rPr>
          <w:rFonts w:ascii="Arial" w:cs="Arial" w:eastAsia="Arial" w:hAnsi="Arial"/>
          <w:sz w:val="19"/>
          <w:szCs w:val="19"/>
        </w:rPr>
        <w:t xml:space="preserve">Service health: availability, dependencies and last probe.</w:t>
      </w:r>
    </w:p>
    <w:p>
      <w:pPr>
        <w:pStyle w:val="ListParagraph"/>
        <w:numPr>
          <w:ilvl w:val="0"/>
          <w:numId w:val="2"/>
        </w:numPr>
        <w:spacing w:after="60" w:line="245"/>
      </w:pPr>
      <w:r>
        <w:rPr>
          <w:rFonts w:ascii="Arial" w:cs="Arial" w:eastAsia="Arial" w:hAnsi="Arial"/>
          <w:sz w:val="19"/>
          <w:szCs w:val="19"/>
        </w:rPr>
        <w:t xml:space="preserve">API performance: request volume, error rate, p50/p95 latency by route group.</w:t>
      </w:r>
    </w:p>
    <w:p>
      <w:pPr>
        <w:pStyle w:val="ListParagraph"/>
        <w:numPr>
          <w:ilvl w:val="0"/>
          <w:numId w:val="2"/>
        </w:numPr>
        <w:spacing w:after="60" w:line="245"/>
      </w:pPr>
      <w:r>
        <w:rPr>
          <w:rFonts w:ascii="Arial" w:cs="Arial" w:eastAsia="Arial" w:hAnsi="Arial"/>
          <w:sz w:val="19"/>
          <w:szCs w:val="19"/>
        </w:rPr>
        <w:t xml:space="preserve">Incident queue: impact, age, owner, mitigation and verified recovery.</w:t>
      </w:r>
    </w:p>
    <w:p>
      <w:pPr>
        <w:pStyle w:val="ListParagraph"/>
        <w:numPr>
          <w:ilvl w:val="0"/>
          <w:numId w:val="2"/>
        </w:numPr>
        <w:spacing w:after="60" w:line="245"/>
      </w:pPr>
      <w:r>
        <w:rPr>
          <w:rFonts w:ascii="Arial" w:cs="Arial" w:eastAsia="Arial" w:hAnsi="Arial"/>
          <w:sz w:val="19"/>
          <w:szCs w:val="19"/>
        </w:rPr>
        <w:t xml:space="preserve">Authentication anomalies: rule, affected reference, case status and restricted details.</w:t>
      </w:r>
    </w:p>
    <w:p>
      <w:pPr>
        <w:pStyle w:val="ListParagraph"/>
        <w:numPr>
          <w:ilvl w:val="0"/>
          <w:numId w:val="2"/>
        </w:numPr>
        <w:spacing w:after="60" w:line="245"/>
      </w:pPr>
      <w:r>
        <w:rPr>
          <w:rFonts w:ascii="Arial" w:cs="Arial" w:eastAsia="Arial" w:hAnsi="Arial"/>
          <w:sz w:val="19"/>
          <w:szCs w:val="19"/>
        </w:rPr>
        <w:t xml:space="preserve">Deployment/migration history: version, actor, outcome and rollback/recovery evidence.</w:t>
      </w:r>
    </w:p>
    <w:p>
      <w:pPr>
        <w:pStyle w:val="Heading3"/>
        <w:keepNext/>
        <w:spacing w:after="100" w:before="180"/>
      </w:pPr>
      <w:r>
        <w:t xml:space="preserve">Measures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050"/>
        <w:gridCol w:w="2880"/>
        <w:gridCol w:w="2470"/>
        <w:gridCol w:w="1960"/>
      </w:tblGrid>
      <w:tr>
        <w:trPr>
          <w:tblHeader/>
        </w:trPr>
        <w:tc>
          <w:tcPr>
            <w:tcW w:type="dxa" w:w="205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Metric</w:t>
            </w:r>
          </w:p>
        </w:tc>
        <w:tc>
          <w:tcPr>
            <w:tcW w:type="dxa" w:w="288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Calculation</w:t>
            </w:r>
          </w:p>
        </w:tc>
        <w:tc>
          <w:tcPr>
            <w:tcW w:type="dxa" w:w="247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Source</w:t>
            </w:r>
          </w:p>
        </w:tc>
        <w:tc>
          <w:tcPr>
            <w:tcW w:type="dxa" w:w="196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Period / empty behavior</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Availability</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Available monitored minutes / eligible monitored minutes; state maintenance exclusions and coverage.</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Health probes and schedule.</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30 days/month; N/A if coverage insufficient.</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Latency</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p50/p95 request duration by route group.</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API telemetry and sample coverage.</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Current and 30 days; N/A when no sample.</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Error rate</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Failed eligible requests / eligible requests, separated by status class.</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API request events.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Current and 30 days; N/A when no requests.</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Incident resolution</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Time from declaration to verified recovery; median/p90 by severity.</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Incident timeline and recovery probe.</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30 days/quarter; N/A if none.</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Detection delay</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Time from qualifying event to alert.</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Anomaly and alert event.</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30 days; N/A without detected cases.</w:t>
            </w:r>
          </w:p>
        </w:tc>
      </w:tr>
      <w:tr>
        <w:tc>
          <w:tcPr>
            <w:tcW w:type="dxa" w:w="20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Change record completeness</w:t>
            </w:r>
          </w:p>
        </w:tc>
        <w:tc>
          <w:tcPr>
            <w:tcW w:type="dxa" w:w="288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Deployments/migrations with actor, version, outcome and recovery link / completed changes.</w:t>
            </w:r>
          </w:p>
        </w:tc>
        <w:tc>
          <w:tcPr>
            <w:tcW w:type="dxa" w:w="247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Deployment and migration events.</w:t>
            </w:r>
          </w:p>
        </w:tc>
        <w:tc>
          <w:tcPr>
            <w:tcW w:type="dxa" w:w="19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30 days/quarter; N/A if none.</w:t>
            </w:r>
          </w:p>
        </w:tc>
      </w:tr>
    </w:tbl>
    <w:p>
      <w:pPr>
        <w:spacing w:after="90" w:line="270"/>
      </w:pPr>
      <w:r>
        <w:rPr>
          <w:rFonts w:ascii="Arial" w:cs="Arial" w:eastAsia="Arial" w:hAnsi="Arial"/>
          <w:sz w:val="20"/>
          <w:szCs w:val="20"/>
        </w:rPr>
        <w:t xml:space="preserve">Target: Not set until approved in versioned configuration. Apply zero-denominator and small-sample rules from Section 2.</w:t>
      </w:r>
    </w:p>
    <w:p>
      <w:pPr>
        <w:pStyle w:val="Heading3"/>
        <w:keepNext/>
        <w:spacing w:after="100" w:before="180"/>
      </w:pPr>
      <w:r>
        <w:t xml:space="preserve">Scope, alerts and evidence</w:t>
      </w:r>
    </w:p>
    <w:p>
      <w:pPr>
        <w:spacing w:after="90" w:line="270"/>
      </w:pPr>
      <w:r>
        <w:rPr>
          <w:rFonts w:ascii="Arial" w:cs="Arial" w:eastAsia="Arial" w:hAnsi="Arial"/>
          <w:sz w:val="20"/>
          <w:szCs w:val="20"/>
        </w:rPr>
        <w:t xml:space="preserve">Access: Platform telemetry, technical audit and incident records required for support. Minimise/redact personal data. No business approvals from technical access.</w:t>
      </w:r>
    </w:p>
    <w:p>
      <w:pPr>
        <w:spacing w:after="90" w:line="270"/>
      </w:pPr>
      <w:r>
        <w:rPr>
          <w:rFonts w:ascii="Arial" w:cs="Arial" w:eastAsia="Arial" w:hAnsi="Arial"/>
          <w:sz w:val="20"/>
          <w:szCs w:val="20"/>
        </w:rPr>
        <w:t xml:space="preserve">Alerts: Probe failure, configured latency/error SLO breach, authentication anomaly, migration failure, unresolved incident, missing recovery proof.</w:t>
      </w:r>
    </w:p>
    <w:p>
      <w:pPr>
        <w:spacing w:after="90" w:line="270"/>
      </w:pPr>
      <w:r>
        <w:rPr>
          <w:rFonts w:ascii="Arial" w:cs="Arial" w:eastAsia="Arial" w:hAnsi="Arial"/>
          <w:sz w:val="20"/>
          <w:szCs w:val="20"/>
        </w:rPr>
        <w:t xml:space="preserve">Evidence: Creates probes, incident timeline/root cause, deployment/migration records and recovery verification. Secrets never belong in logs.</w:t>
      </w:r>
    </w:p>
    <w:p>
      <w:pPr>
        <w:pStyle w:val="Heading3"/>
        <w:keepNext/>
        <w:spacing w:after="100" w:before="180"/>
      </w:pPr>
      <w:r>
        <w:t xml:space="preserve">API and example response</w:t>
      </w:r>
    </w:p>
    <w:p>
      <w:pPr>
        <w:spacing w:after="90" w:line="270"/>
      </w:pPr>
      <w:r>
        <w:rPr>
          <w:rFonts w:ascii="Arial" w:cs="Arial" w:eastAsia="Arial" w:hAnsi="Arial"/>
          <w:sz w:val="20"/>
          <w:szCs w:val="20"/>
        </w:rPr>
        <w:t xml:space="preserve">GET /api/v1/it/dashboard; GET /api/v1/it/health; GET /api/v1/it/metrics; GET /api/v1/it/incidents; POST /api/v1/it/incidents/{id}/events; GET /api/v1/it/deployments</w:t>
      </w:r>
    </w:p>
    <w:p>
      <w:pPr>
        <w:shd w:fill="F3F6FA" w:val="clear"/>
        <w:spacing w:after="100" w:before="50" w:line="235"/>
        <w:ind w:left="130" w:right="100"/>
      </w:pPr>
      <w:r>
        <w:rPr>
          <w:rFonts w:ascii="Consolas" w:cs="Consolas" w:eastAsia="Consolas" w:hAnsi="Consolas"/>
          <w:color w:val="243447"/>
          <w:sz w:val="16"/>
          <w:szCs w:val="16"/>
        </w:rPr>
        <w:t xml:space="preserve">{ "services":[{"name":"api","status":"healthy","availability":{"display":"N/A","coverage":"0 probes"},"latencyMs":{"p95":142,"sampleCount":840}}],"incidents":[{"id":"inc-8","severity":"high","status":"investigating","startedAt":"2026-10-13T08:12:00Z"}]}</w:t>
      </w:r>
    </w:p>
    <w:p>
      <w:pPr>
        <w:spacing w:after="90" w:line="270"/>
      </w:pPr>
      <w:r>
        <w:rPr>
          <w:rFonts w:ascii="Arial" w:cs="Arial" w:eastAsia="Arial" w:hAnsi="Arial"/>
          <w:sz w:val="20"/>
          <w:szCs w:val="20"/>
        </w:rPr>
        <w:t xml:space="preserve">Additional fields needed: Probe schedule/results and coverage, route telemetry, redacted error codes, incident timeline/impact, deployment actor/version/environment, migration checksum/outcome/recovery, alert-rule versions.</w:t>
      </w:r>
    </w:p>
    <w:p>
      <w:pPr>
        <w:pStyle w:val="Heading1"/>
        <w:keepNext/>
        <w:spacing w:after="100" w:before="280"/>
      </w:pPr>
      <w:r>
        <w:t xml:space="preserve">7. Employee shared services</w:t>
      </w:r>
    </w:p>
    <w:p>
      <w:pPr>
        <w:spacing w:after="90" w:line="270"/>
      </w:pPr>
      <w:r>
        <w:rPr>
          <w:rFonts w:ascii="Arial" w:cs="Arial" w:eastAsia="Arial" w:hAnsi="Arial"/>
          <w:sz w:val="20"/>
          <w:szCs w:val="20"/>
        </w:rPr>
        <w:t xml:space="preserve">These services appear across workspaces and must follow the same identity, scope and audit rules. Notifications and messages are tied to work records; profile/security settings let a person manage their own account safely.</w:t>
      </w:r>
    </w:p>
    <w:tbl>
      <w:tblPr>
        <w:tblW w:type="dxa" w:w="930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1900"/>
        <w:gridCol w:w="3900"/>
        <w:gridCol w:w="3500"/>
      </w:tblGrid>
      <w:tr>
        <w:trPr>
          <w:tblHeader/>
        </w:trPr>
        <w:tc>
          <w:tcPr>
            <w:tcW w:type="dxa" w:w="19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Service / panel</w:t>
            </w:r>
          </w:p>
        </w:tc>
        <w:tc>
          <w:tcPr>
            <w:tcW w:type="dxa" w:w="39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What the user sees or does</w:t>
            </w:r>
          </w:p>
        </w:tc>
        <w:tc>
          <w:tcPr>
            <w:tcW w:type="dxa" w:w="35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Measure / record behavior</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Notifications and reminders</w:t>
            </w:r>
          </w:p>
        </w:tc>
        <w:tc>
          <w:tcPr>
            <w:tcW w:type="dxa" w:w="3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Unread items, due time, reason, linked task/request/announcement, source role and next action; user can mark read or configure allowed delivery preferences.</w:t>
            </w:r>
          </w:p>
        </w:tc>
        <w:tc>
          <w:tcPr>
            <w:tcW w:type="dxa" w:w="35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Delivery success = confirmed deliveries / attempted deliveries where receipts exist; latency = sent-to-delivered; unread age and failed delivery counts. Show channel coverage and source timestamp.</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Messages linked to work</w:t>
            </w:r>
          </w:p>
        </w:tc>
        <w:tc>
          <w:tcPr>
            <w:tcW w:type="dxa" w:w="3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Task/request/announcement conversation with author, active role, time, attachments and parent record. Avoid detached private tracking messages.</w:t>
            </w:r>
          </w:p>
        </w:tc>
        <w:tc>
          <w:tcPr>
            <w:tcW w:type="dxa" w:w="35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Response time only for explicitly assigned message queues with configured service window; show count and age. Messages do not change task state.</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Profile</w:t>
            </w:r>
          </w:p>
        </w:tc>
        <w:tc>
          <w:tcPr>
            <w:tcW w:type="dxa" w:w="3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Employee identity fields, assigned workspaces, department/team, contact preferences and profile correction request.</w:t>
            </w:r>
          </w:p>
        </w:tc>
        <w:tc>
          <w:tcPr>
            <w:tcW w:type="dxa" w:w="35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Completeness = populated required fields / required fields; sensitive fields hidden unless permission allows.</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Password and sessions</w:t>
            </w:r>
          </w:p>
        </w:tc>
        <w:tc>
          <w:tcPr>
            <w:tcW w:type="dxa" w:w="3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Authenticated password change/reset flow, active session list, “end this session” and “end other sessions” action, with confirmation and audit.</w:t>
            </w:r>
          </w:p>
        </w:tc>
        <w:tc>
          <w:tcPr>
            <w:tcW w:type="dxa" w:w="35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Security events: change outcome, session revocation count, last sign-in summary. Never expose password or token.</w:t>
            </w:r>
          </w:p>
        </w:tc>
      </w:tr>
    </w:tbl>
    <w:p>
      <w:pPr>
        <w:spacing w:after="90" w:line="270"/>
      </w:pPr>
      <w:r>
        <w:rPr>
          <w:rFonts w:ascii="Arial" w:cs="Arial" w:eastAsia="Arial" w:hAnsi="Arial"/>
          <w:sz w:val="20"/>
          <w:szCs w:val="20"/>
        </w:rPr>
        <w:t xml:space="preserve">Suggested APIs: GET /api/v1/me/notifications; POST /api/v1/notifications/{id}/read; GET /api/v1/me/messages?linkedTo=; POST /api/v1/messages; GET/PATCH /api/v1/me/profile; POST /api/v1/me/password-change; GET/DELETE /api/v1/me/sessions. Password change must use secure server-side handling, rate limits and session invalidation policy.</w:t>
      </w:r>
    </w:p>
    <w:p>
      <w:pPr>
        <w:shd w:fill="F3F6FA" w:val="clear"/>
        <w:spacing w:after="100" w:before="50" w:line="235"/>
        <w:ind w:left="130" w:right="100"/>
      </w:pPr>
      <w:r>
        <w:rPr>
          <w:rFonts w:ascii="Consolas" w:cs="Consolas" w:eastAsia="Consolas" w:hAnsi="Consolas"/>
          <w:color w:val="243447"/>
          <w:sz w:val="16"/>
          <w:szCs w:val="16"/>
        </w:rPr>
        <w:t xml:space="preserve">{ "notifications": [{"id":"notice-9","type":"TASK_DUE","linkedEntity":{"kind":"task","id":"task-812"},"createdAt":"2026-10-13T09:00:00Z","readAt":null,"nextAction":"Open task"}], "delivery":{"attempted":20,"confirmed":18,"coverage":"email receipts only"}, "sessions":[{"id":"session-4","current":true,"createdAt":"2026-10-12T07:15:00Z","lastSeenAt":"2026-10-13T09:50:00Z"}]}</w:t>
      </w:r>
    </w:p>
    <w:p>
      <w:pPr>
        <w:pStyle w:val="Heading1"/>
        <w:keepNext/>
        <w:spacing w:after="100" w:before="280"/>
      </w:pPr>
      <w:r>
        <w:t xml:space="preserve">8. Report builder and output rules</w:t>
      </w:r>
    </w:p>
    <w:p>
      <w:pPr>
        <w:spacing w:after="90" w:line="270"/>
      </w:pPr>
      <w:r>
        <w:rPr>
          <w:rFonts w:ascii="Arial" w:cs="Arial" w:eastAsia="Arial" w:hAnsi="Arial"/>
          <w:sz w:val="20"/>
          <w:szCs w:val="20"/>
        </w:rPr>
        <w:t xml:space="preserve">The report builder uses only filters authorised for the active role and scope. A filter choice narrows data; it never expands permission. Reports must retain the selected filters, definition versions, creation time and source coverage for reproducibility.</w:t>
      </w:r>
    </w:p>
    <w:tbl>
      <w:tblPr>
        <w:tblW w:type="dxa" w:w="930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200"/>
        <w:gridCol w:w="7100"/>
      </w:tblGrid>
      <w:tr>
        <w:trPr>
          <w:tblHeader/>
        </w:trPr>
        <w:tc>
          <w:tcPr>
            <w:tcW w:type="dxa" w:w="22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Report capability</w:t>
            </w:r>
          </w:p>
        </w:tc>
        <w:tc>
          <w:tcPr>
            <w:tcW w:type="dxa" w:w="71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Design requirement</w:t>
            </w:r>
          </w:p>
        </w:tc>
      </w:tr>
      <w:tr>
        <w:tc>
          <w:tcPr>
            <w:tcW w:type="dxa" w:w="22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Filters</w:t>
            </w:r>
          </w:p>
        </w:tc>
        <w:tc>
          <w:tcPr>
            <w:tcW w:type="dxa" w:w="71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Period; employee; manager; team; role; department; branch; priority; task status; request type/status; attendance status; risk rule/severity. Filter options are permission-scoped and dependent selections (department → team → employee) must not reveal hidden values.</w:t>
            </w:r>
          </w:p>
        </w:tc>
      </w:tr>
      <w:tr>
        <w:tc>
          <w:tcPr>
            <w:tcW w:type="dxa" w:w="22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Views and outputs</w:t>
            </w:r>
          </w:p>
        </w:tc>
        <w:tc>
          <w:tcPr>
            <w:tcW w:type="dxa" w:w="71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Dashboard view; PDF; Excel; authorised email delivery; appraisal template. Email recipients are validated against configured role scope. Appraisal exports require an explicit mandate, purpose and audit record.</w:t>
            </w:r>
          </w:p>
        </w:tc>
      </w:tr>
      <w:tr>
        <w:tc>
          <w:tcPr>
            <w:tcW w:type="dxa" w:w="22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Metric display</w:t>
            </w:r>
          </w:p>
        </w:tc>
        <w:tc>
          <w:tcPr>
            <w:tcW w:type="dxa" w:w="71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Every metric has numerator, denominator, period, scope, data-as-of timestamp, definition version, target status and source drilldown. Preserve N/A, small-sample counts and stale-source labels in export.</w:t>
            </w:r>
          </w:p>
        </w:tc>
      </w:tr>
      <w:tr>
        <w:tc>
          <w:tcPr>
            <w:tcW w:type="dxa" w:w="22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Generation</w:t>
            </w:r>
          </w:p>
        </w:tc>
        <w:tc>
          <w:tcPr>
            <w:tcW w:type="dxa" w:w="71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Small requests may run synchronously; large reports create a job with queued/running/completed/failed/cancelled state, requester, filters, progress and expiration. Retry is idempotent; download access re-checks permission.</w:t>
            </w:r>
          </w:p>
        </w:tc>
      </w:tr>
      <w:tr>
        <w:tc>
          <w:tcPr>
            <w:tcW w:type="dxa" w:w="22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Audit</w:t>
            </w:r>
          </w:p>
        </w:tc>
        <w:tc>
          <w:tcPr>
            <w:tcW w:type="dxa" w:w="71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Record report ID, requester, active role, scope, filters, format, recipients, generated time, download time, source snapshot/version and outcome.</w:t>
            </w:r>
          </w:p>
        </w:tc>
      </w:tr>
    </w:tbl>
    <w:p>
      <w:pPr>
        <w:shd w:fill="F3F6FA" w:val="clear"/>
        <w:spacing w:after="100" w:before="50" w:line="235"/>
        <w:ind w:left="130" w:right="100"/>
      </w:pPr>
      <w:r>
        <w:rPr>
          <w:rFonts w:ascii="Consolas" w:cs="Consolas" w:eastAsia="Consolas" w:hAnsi="Consolas"/>
          <w:color w:val="243447"/>
          <w:sz w:val="16"/>
          <w:szCs w:val="16"/>
        </w:rPr>
        <w:t xml:space="preserve">{ "reportId":"rpt-2026-104","status":"completed","format":"xlsx","filters":{"period":{"from":"2026-09-13","to":"2026-10-13"},"teamIds":["team-ops"],"priority":["high"]},"dataAsOf":"2026-10-13T10:00:00Z","definitionVersions":{"on_time":"v1"},"createdBy":{"employeeId":"emp-1","activeRole":"general_manager"},"download":{"expiresAt":"2026-10-13T12:00:00Z"}}</w:t>
      </w:r>
    </w:p>
    <w:p>
      <w:pPr>
        <w:spacing w:after="90" w:line="270"/>
      </w:pPr>
      <w:r>
        <w:rPr>
          <w:rFonts w:ascii="Arial" w:cs="Arial" w:eastAsia="Arial" w:hAnsi="Arial"/>
          <w:sz w:val="20"/>
          <w:szCs w:val="20"/>
        </w:rPr>
        <w:t xml:space="preserve">API proposal: POST /api/v1/reports/jobs; GET /api/v1/reports/jobs/{id}; GET /api/v1/reports/{id}/download; POST /api/v1/reports/{id}/deliveries. Apply least privilege, file scanning, expiration and export audit.</w:t>
      </w:r>
    </w:p>
    <w:p>
      <w:pPr>
        <w:pStyle w:val="Heading1"/>
        <w:keepNext/>
        <w:spacing w:after="100" w:before="280"/>
      </w:pPr>
      <w:r>
        <w:t xml:space="preserve">9. Comparisons on every dashboard</w:t>
      </w:r>
    </w:p>
    <w:p>
      <w:pPr>
        <w:spacing w:after="90" w:line="270"/>
      </w:pPr>
      <w:r>
        <w:rPr>
          <w:rFonts w:ascii="Arial" w:cs="Arial" w:eastAsia="Arial" w:hAnsi="Arial"/>
          <w:sz w:val="20"/>
          <w:szCs w:val="20"/>
        </w:rPr>
        <w:t xml:space="preserve">Where a comparable prior period exists, every role dashboard must show day versus previous day, week versus previous week, and month versus prior month whenever the periods are comparable. A comparison must use the same definition version, scope, timezone, calendar and equivalent elapsed period. Do not imply causation from a change.</w:t>
      </w:r>
    </w:p>
    <w:tbl>
      <w:tblPr>
        <w:tblW w:type="dxa" w:w="930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600"/>
        <w:gridCol w:w="6700"/>
      </w:tblGrid>
      <w:tr>
        <w:trPr>
          <w:tblHeader/>
        </w:trPr>
        <w:tc>
          <w:tcPr>
            <w:tcW w:type="dxa" w:w="26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Comparison</w:t>
            </w:r>
          </w:p>
        </w:tc>
        <w:tc>
          <w:tcPr>
            <w:tcW w:type="dxa" w:w="67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Required display</w:t>
            </w:r>
          </w:p>
        </w:tc>
      </w:tr>
      <w:tr>
        <w:tc>
          <w:tcPr>
            <w:tcW w:type="dxa" w:w="26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Day / prior day</w:t>
            </w:r>
          </w:p>
        </w:tc>
        <w:tc>
          <w:tcPr>
            <w:tcW w:type="dxa" w:w="67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Value now and prior day, absolute difference, eligible counts and whether the workday is complete.</w:t>
            </w:r>
          </w:p>
        </w:tc>
      </w:tr>
      <w:tr>
        <w:tc>
          <w:tcPr>
            <w:tcW w:type="dxa" w:w="26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Week / prior week</w:t>
            </w:r>
          </w:p>
        </w:tc>
        <w:tc>
          <w:tcPr>
            <w:tcW w:type="dxa" w:w="67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Same weekday/time cutoff where report is live; show holiday/shift coverage and counts.</w:t>
            </w:r>
          </w:p>
        </w:tc>
      </w:tr>
      <w:tr>
        <w:tc>
          <w:tcPr>
            <w:tcW w:type="dxa" w:w="26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Month / prior month</w:t>
            </w:r>
          </w:p>
        </w:tc>
        <w:tc>
          <w:tcPr>
            <w:tcW w:type="dxa" w:w="67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Compare equal completed-day windows or label partial month; never compare a partial month to a complete month without warning.</w:t>
            </w:r>
          </w:p>
        </w:tc>
      </w:tr>
      <w:tr>
        <w:tc>
          <w:tcPr>
            <w:tcW w:type="dxa" w:w="26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Not comparable</w:t>
            </w:r>
          </w:p>
        </w:tc>
        <w:tc>
          <w:tcPr>
            <w:tcW w:type="dxa" w:w="67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Show “Not comparable” with reason for definition change, missing data, changed scope, or insufficient sample. Never fill missing periods with zero.</w:t>
            </w:r>
          </w:p>
        </w:tc>
      </w:tr>
    </w:tbl>
    <w:p>
      <w:pPr>
        <w:spacing w:after="90" w:line="270"/>
      </w:pPr>
      <w:r>
        <w:rPr>
          <w:rFonts w:ascii="Arial" w:cs="Arial" w:eastAsia="Arial" w:hAnsi="Arial"/>
          <w:sz w:val="20"/>
          <w:szCs w:val="20"/>
        </w:rPr>
        <w:t xml:space="preserve">Trend comparisons are role-scoped. An individual sees own data; a manager sees only mandated team scope; enterprise summaries use authorised aggregation. Every displayed delta drills into both periods’ source records.</w:t>
      </w:r>
    </w:p>
    <w:p>
      <w:pPr>
        <w:pStyle w:val="Heading1"/>
        <w:keepNext/>
        <w:spacing w:after="100" w:before="280"/>
      </w:pPr>
      <w:r>
        <w:t xml:space="preserve">10. Attendance and availability detail</w:t>
      </w:r>
    </w:p>
    <w:p>
      <w:pPr>
        <w:spacing w:after="90" w:line="270"/>
      </w:pPr>
      <w:r>
        <w:rPr>
          <w:rFonts w:ascii="Arial" w:cs="Arial" w:eastAsia="Arial" w:hAnsi="Arial"/>
          <w:sz w:val="20"/>
          <w:szCs w:val="20"/>
        </w:rPr>
        <w:t xml:space="preserve">Attendance and declared availability are different records. Attendance answers whether a scheduled person recorded a complete workday under policy. Availability is the person’s current declared work state. Neither should be inferred from keyboard or screen activity.</w:t>
      </w:r>
    </w:p>
    <w:tbl>
      <w:tblPr>
        <w:tblW w:type="dxa" w:w="930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100"/>
        <w:gridCol w:w="7200"/>
      </w:tblGrid>
      <w:tr>
        <w:trPr>
          <w:tblHeader/>
        </w:trPr>
        <w:tc>
          <w:tcPr>
            <w:tcW w:type="dxa" w:w="21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Detail</w:t>
            </w:r>
          </w:p>
        </w:tc>
        <w:tc>
          <w:tcPr>
            <w:tcW w:type="dxa" w:w="72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Definition and display</w:t>
            </w:r>
          </w:p>
        </w:tc>
      </w:tr>
      <w:tr>
        <w:tc>
          <w:tcPr>
            <w:tcW w:type="dxa" w:w="21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Breaks</w:t>
            </w:r>
          </w:p>
        </w:tc>
        <w:tc>
          <w:tcPr>
            <w:tcW w:type="dxa" w:w="72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If policy requires break records, store start/end and correction events separately. Show recorded break duration and missing break record status; do not treat unrecorded time as proof of absence.</w:t>
            </w:r>
          </w:p>
        </w:tc>
      </w:tr>
      <w:tr>
        <w:tc>
          <w:tcPr>
            <w:tcW w:type="dxa" w:w="21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Working hours</w:t>
            </w:r>
          </w:p>
        </w:tc>
        <w:tc>
          <w:tcPr>
            <w:tcW w:type="dxa" w:w="72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For a day with complete valid punch records: checkout time minus check-in time minus policy-defined recorded breaks. Show scheduled hours separately. Incomplete punch = “Incomplete record”, not zero.</w:t>
            </w:r>
          </w:p>
        </w:tc>
      </w:tr>
      <w:tr>
        <w:tc>
          <w:tcPr>
            <w:tcW w:type="dxa" w:w="21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Late arrival</w:t>
            </w:r>
          </w:p>
        </w:tc>
        <w:tc>
          <w:tcPr>
            <w:tcW w:type="dxa" w:w="72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Check-in after scheduled start plus configured grace. Formula: late eligible days / days present; show count, minutes late and adjustment context.</w:t>
            </w:r>
          </w:p>
        </w:tc>
      </w:tr>
      <w:tr>
        <w:tc>
          <w:tcPr>
            <w:tcW w:type="dxa" w:w="21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Absence</w:t>
            </w:r>
          </w:p>
        </w:tc>
        <w:tc>
          <w:tcPr>
            <w:tcW w:type="dxa" w:w="72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Scheduled eligible days without valid complete attendance and without approved leave. Show unexcused and unresolved separately; do not silently classify exceptions.</w:t>
            </w:r>
          </w:p>
        </w:tc>
      </w:tr>
      <w:tr>
        <w:tc>
          <w:tcPr>
            <w:tcW w:type="dxa" w:w="21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Location tag</w:t>
            </w:r>
          </w:p>
        </w:tc>
        <w:tc>
          <w:tcPr>
            <w:tcW w:type="dxa" w:w="72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ONSITE, REMOTE or UNKNOWN from explicit permitted login/check-in/field event; show source and timestamp. Remote/unknown never hard-blocks sign-in under the supplied rule.</w:t>
            </w:r>
          </w:p>
        </w:tc>
      </w:tr>
      <w:tr>
        <w:tc>
          <w:tcPr>
            <w:tcW w:type="dxa" w:w="21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Availability</w:t>
            </w:r>
          </w:p>
        </w:tc>
        <w:tc>
          <w:tcPr>
            <w:tcW w:type="dxa" w:w="72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Use the ten configured statuses from the diagram: display exact labels and definitions from the approved status catalogue. Record who changed it, start/end time and source. Do not invent labels if the diagram/catalog has not been verified.</w:t>
            </w:r>
          </w:p>
        </w:tc>
      </w:tr>
    </w:tbl>
    <w:p>
      <w:pPr>
        <w:spacing w:after="90" w:line="270"/>
      </w:pPr>
      <w:r>
        <w:rPr>
          <w:rFonts w:ascii="Arial" w:cs="Arial" w:eastAsia="Arial" w:hAnsi="Arial"/>
          <w:sz w:val="20"/>
          <w:szCs w:val="20"/>
        </w:rPr>
        <w:t xml:space="preserve">Required attendance measures: attendance rate, punctuality, late-day count/minutes, absence count, missing-punch exceptions, working hours on complete records, recorded break duration, remote/unknown event counts, and approved leave days. Periods include current day and rolling 30-day; all use schedule, office timezone, holidays and policy versions.</w:t>
      </w:r>
    </w:p>
    <w:p>
      <w:pPr>
        <w:spacing w:after="90" w:line="270"/>
      </w:pPr>
      <w:r>
        <w:rPr>
          <w:rFonts w:ascii="Arial" w:cs="Arial" w:eastAsia="Arial" w:hAnsi="Arial"/>
          <w:sz w:val="20"/>
          <w:szCs w:val="20"/>
        </w:rPr>
        <w:t xml:space="preserve">Suggested APIs: GET /api/v1/me/attendance; GET /api/v1/teams/{id}/attendance; POST /api/v1/attendance/events; POST /api/v1/attendance/{id}/corrections; GET /api/v1/attendance/exceptions. Ten availability values should be loaded from a versioned configuration endpoint and returned with label, category, and allowed transition—not hardcoded in the UI.</w:t>
      </w:r>
    </w:p>
    <w:p>
      <w:pPr>
        <w:pStyle w:val="Heading2"/>
        <w:keepNext/>
        <w:spacing w:after="100" w:before="180"/>
      </w:pPr>
      <w:r>
        <w:t xml:space="preserve">Ten configured availability statuses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350"/>
        <w:gridCol w:w="7010"/>
      </w:tblGrid>
      <w:tr>
        <w:trPr>
          <w:tblHeader/>
        </w:trPr>
        <w:tc>
          <w:tcPr>
            <w:tcW w:type="dxa" w:w="235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Status</w:t>
            </w:r>
          </w:p>
        </w:tc>
        <w:tc>
          <w:tcPr>
            <w:tcW w:type="dxa" w:w="701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Plain meaning / tracking rule</w:t>
            </w:r>
          </w:p>
        </w:tc>
      </w:tr>
      <w:tr>
        <w:tc>
          <w:tcPr>
            <w:tcW w:type="dxa" w:w="2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Available</w:t>
            </w:r>
          </w:p>
        </w:tc>
        <w:tc>
          <w:tcPr>
            <w:tcW w:type="dxa" w:w="70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Employee has declared they can take or continue work.</w:t>
            </w:r>
          </w:p>
        </w:tc>
      </w:tr>
      <w:tr>
        <w:tc>
          <w:tcPr>
            <w:tcW w:type="dxa" w:w="2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Busy</w:t>
            </w:r>
          </w:p>
        </w:tc>
        <w:tc>
          <w:tcPr>
            <w:tcW w:type="dxa" w:w="70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Employee has declared limited availability.</w:t>
            </w:r>
          </w:p>
        </w:tc>
      </w:tr>
      <w:tr>
        <w:tc>
          <w:tcPr>
            <w:tcW w:type="dxa" w:w="2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In Meeting</w:t>
            </w:r>
          </w:p>
        </w:tc>
        <w:tc>
          <w:tcPr>
            <w:tcW w:type="dxa" w:w="70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Employee has declared meeting time.</w:t>
            </w:r>
          </w:p>
        </w:tc>
      </w:tr>
      <w:tr>
        <w:tc>
          <w:tcPr>
            <w:tcW w:type="dxa" w:w="2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On Break</w:t>
            </w:r>
          </w:p>
        </w:tc>
        <w:tc>
          <w:tcPr>
            <w:tcW w:type="dxa" w:w="70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Employee has declared a break; attendance break record is separate.</w:t>
            </w:r>
          </w:p>
        </w:tc>
      </w:tr>
      <w:tr>
        <w:tc>
          <w:tcPr>
            <w:tcW w:type="dxa" w:w="2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In Training</w:t>
            </w:r>
          </w:p>
        </w:tc>
        <w:tc>
          <w:tcPr>
            <w:tcW w:type="dxa" w:w="70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Employee has declared scheduled training.</w:t>
            </w:r>
          </w:p>
        </w:tc>
      </w:tr>
      <w:tr>
        <w:tc>
          <w:tcPr>
            <w:tcW w:type="dxa" w:w="2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Do Not Disturb</w:t>
            </w:r>
          </w:p>
        </w:tc>
        <w:tc>
          <w:tcPr>
            <w:tcW w:type="dxa" w:w="70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Employee has declared focus time; urgent routing follows separate policy.</w:t>
            </w:r>
          </w:p>
        </w:tc>
      </w:tr>
      <w:tr>
        <w:tc>
          <w:tcPr>
            <w:tcW w:type="dxa" w:w="2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Working Remotely</w:t>
            </w:r>
          </w:p>
        </w:tc>
        <w:tc>
          <w:tcPr>
            <w:tcW w:type="dxa" w:w="70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Employee has declared remote work; this is not the same as a GPS-derived tag.</w:t>
            </w:r>
          </w:p>
        </w:tc>
      </w:tr>
      <w:tr>
        <w:tc>
          <w:tcPr>
            <w:tcW w:type="dxa" w:w="2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On Leave</w:t>
            </w:r>
          </w:p>
        </w:tc>
        <w:tc>
          <w:tcPr>
            <w:tcW w:type="dxa" w:w="70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Approved leave record controls absence calculations; status must not substitute for approval.</w:t>
            </w:r>
          </w:p>
        </w:tc>
      </w:tr>
      <w:tr>
        <w:tc>
          <w:tcPr>
            <w:tcW w:type="dxa" w:w="2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Absent</w:t>
            </w:r>
          </w:p>
        </w:tc>
        <w:tc>
          <w:tcPr>
            <w:tcW w:type="dxa" w:w="70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Attendance/manager status requires its own reason and authority; do not infer automatically.</w:t>
            </w:r>
          </w:p>
        </w:tc>
      </w:tr>
      <w:tr>
        <w:tc>
          <w:tcPr>
            <w:tcW w:type="dxa" w:w="23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Offline</w:t>
            </w:r>
          </w:p>
        </w:tc>
        <w:tc>
          <w:tcPr>
            <w:tcW w:type="dxa" w:w="70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No active presence declaration; this does not prove absence or inactivity.</w:t>
            </w:r>
          </w:p>
        </w:tc>
      </w:tr>
    </w:tbl>
    <w:p>
      <w:pPr>
        <w:spacing w:after="90" w:line="270"/>
      </w:pPr>
      <w:r>
        <w:rPr>
          <w:rFonts w:ascii="Arial" w:cs="Arial" w:eastAsia="Arial" w:hAnsi="Arial"/>
          <w:sz w:val="20"/>
          <w:szCs w:val="20"/>
        </w:rPr>
        <w:t xml:space="preserve">Availability is a self-declared, time-bounded status with actor, active role, changedAt, optional expected end, and source. It is not derived from keyboard activity, screen activity, or continuous location.</w:t>
      </w:r>
    </w:p>
    <w:p>
      <w:pPr>
        <w:pStyle w:val="Heading1"/>
        <w:keepNext/>
        <w:spacing w:after="100" w:before="280"/>
      </w:pPr>
      <w:r>
        <w:t xml:space="preserve">11. Login, role context and task outcomes</w:t>
      </w:r>
    </w:p>
    <w:p>
      <w:pPr>
        <w:spacing w:after="90" w:line="270"/>
      </w:pPr>
      <w:r>
        <w:rPr>
          <w:rFonts w:ascii="Arial" w:cs="Arial" w:eastAsia="Arial" w:hAnsi="Arial"/>
          <w:sz w:val="20"/>
          <w:szCs w:val="20"/>
        </w:rPr>
        <w:t xml:space="preserve">Layer 1 is part of operational tracking. The login flow has explicit outcomes, controlled role context and permission refresh. Failed attempts must not leak whether an employee ID exists. Geofence outcomes tag context and do not hard-block access under the supplied system rule.</w:t>
      </w:r>
    </w:p>
    <w:tbl>
      <w:tblPr>
        <w:tblW w:type="dxa" w:w="930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000"/>
        <w:gridCol w:w="7300"/>
      </w:tblGrid>
      <w:tr>
        <w:trPr>
          <w:tblHeader/>
        </w:trPr>
        <w:tc>
          <w:tcPr>
            <w:tcW w:type="dxa" w:w="20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Flow point</w:t>
            </w:r>
          </w:p>
        </w:tc>
        <w:tc>
          <w:tcPr>
            <w:tcW w:type="dxa" w:w="73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Required behavior and record</w:t>
            </w:r>
          </w:p>
        </w:tc>
      </w:tr>
      <w:tr>
        <w:tc>
          <w:tcPr>
            <w:tcW w:type="dxa" w:w="2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Invalid credentials</w:t>
            </w:r>
          </w:p>
        </w:tc>
        <w:tc>
          <w:tcPr>
            <w:tcW w:type="dxa" w:w="7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Return a generic authentication error; rate-limit attempts; record time, account reference where safe, outcome, request ID and redacted network/device context. Never log password/token.</w:t>
            </w:r>
          </w:p>
        </w:tc>
      </w:tr>
      <w:tr>
        <w:tc>
          <w:tcPr>
            <w:tcW w:type="dxa" w:w="2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Valid credentials</w:t>
            </w:r>
          </w:p>
        </w:tc>
        <w:tc>
          <w:tcPr>
            <w:tcW w:type="dxa" w:w="7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Create a server-validated session, load assigned roles and scopes, record authentication decision and permitted location context. Return safe profile/workspace metadata.</w:t>
            </w:r>
          </w:p>
        </w:tc>
      </w:tr>
      <w:tr>
        <w:tc>
          <w:tcPr>
            <w:tcW w:type="dxa" w:w="2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Role decision</w:t>
            </w:r>
          </w:p>
        </w:tc>
        <w:tc>
          <w:tcPr>
            <w:tcW w:type="dxa" w:w="7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If one workspace is assigned, select it by policy. If multiple, show only assigned workspaces. Reject a forged role ID at the API.</w:t>
            </w:r>
          </w:p>
        </w:tc>
      </w:tr>
      <w:tr>
        <w:tc>
          <w:tcPr>
            <w:tcW w:type="dxa" w:w="2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Role switch</w:t>
            </w:r>
          </w:p>
        </w:tc>
        <w:tc>
          <w:tcPr>
            <w:tcW w:type="dxa" w:w="7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Re-check current assignments and permissions server-side on every switch; return fresh permission version and workspace. Audit previous/new active role and time.</w:t>
            </w:r>
          </w:p>
        </w:tc>
      </w:tr>
      <w:tr>
        <w:tc>
          <w:tcPr>
            <w:tcW w:type="dxa" w:w="2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Geofence result</w:t>
            </w:r>
          </w:p>
        </w:tc>
        <w:tc>
          <w:tcPr>
            <w:tcW w:type="dxa" w:w="7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ONSITE, REMOTE or UNKNOWN is a context tag from explicit location event; no hard block; retain only approved fields and duration.</w:t>
            </w:r>
          </w:p>
        </w:tc>
      </w:tr>
      <w:tr>
        <w:tc>
          <w:tcPr>
            <w:tcW w:type="dxa" w:w="2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Logout/session end</w:t>
            </w:r>
          </w:p>
        </w:tc>
        <w:tc>
          <w:tcPr>
            <w:tcW w:type="dxa" w:w="7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Revoke server session. “End other sessions” revokes selected/all other sessions according to user action and configured policy.</w:t>
            </w:r>
          </w:p>
        </w:tc>
      </w:tr>
    </w:tbl>
    <w:p>
      <w:pPr>
        <w:shd w:fill="F3F6FA" w:val="clear"/>
        <w:spacing w:after="100" w:before="50" w:line="235"/>
        <w:ind w:left="130" w:right="100"/>
      </w:pPr>
      <w:r>
        <w:rPr>
          <w:rFonts w:ascii="Consolas" w:cs="Consolas" w:eastAsia="Consolas" w:hAnsi="Consolas"/>
          <w:color w:val="243447"/>
          <w:sz w:val="16"/>
          <w:szCs w:val="16"/>
        </w:rPr>
        <w:t xml:space="preserve">{ "outcome":"authenticated","session":{"expiresAt":"2026-10-13T18:00:00Z"},"user":{"employeeId":"emp-104","assignedWorkspaces":["executive","bde"]},"activeWorkspace":"bde","permissionVersion":"perm-v8","locationContext":{"status":"UNKNOWN","checkedAt":"2026-10-13T08:00:00Z"} }</w:t>
      </w:r>
    </w:p>
    <w:p>
      <w:pPr>
        <w:spacing w:after="90" w:line="270"/>
      </w:pPr>
      <w:r>
        <w:rPr>
          <w:rFonts w:ascii="Arial" w:cs="Arial" w:eastAsia="Arial" w:hAnsi="Arial"/>
          <w:sz w:val="20"/>
          <w:szCs w:val="20"/>
        </w:rPr>
        <w:t xml:space="preserve">Track authentication success/failure rate with counts and denominator, lockout/rate-limit events, session creation/revocation, role-switch outcomes and denied permission refreshes. Keep account-level details limited to authorised security roles. Suggested APIs: POST /api/v1/auth/login; GET /api/v1/auth/me; POST /api/v1/auth/role-context; POST /api/v1/auth/logout; GET /api/v1/me/sessions.</w:t>
      </w:r>
    </w:p>
    <w:p>
      <w:pPr>
        <w:pStyle w:val="Heading2"/>
        <w:keepNext/>
        <w:spacing w:after="100" w:before="180"/>
      </w:pPr>
      <w:r>
        <w:t xml:space="preserve">Task business links and cancellation</w:t>
      </w:r>
    </w:p>
    <w:p>
      <w:pPr>
        <w:spacing w:after="90" w:line="270"/>
      </w:pPr>
      <w:r>
        <w:rPr>
          <w:rFonts w:ascii="Arial" w:cs="Arial" w:eastAsia="Arial" w:hAnsi="Arial"/>
          <w:sz w:val="20"/>
          <w:szCs w:val="20"/>
        </w:rPr>
        <w:t xml:space="preserve">Every task must link to its originating business entity ID, as required by the diagram’s traceability contract. A task without a source entity can be created only for an approved internal-work entity type; it must still have an entity ID. This lets the user open the originating member office, CRM lead, campaign, conference, IT incident or other permitted record.</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250"/>
        <w:gridCol w:w="7110"/>
      </w:tblGrid>
      <w:tr>
        <w:trPr>
          <w:tblHeader/>
        </w:trPr>
        <w:tc>
          <w:tcPr>
            <w:tcW w:type="dxa" w:w="225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Rule</w:t>
            </w:r>
          </w:p>
        </w:tc>
        <w:tc>
          <w:tcPr>
            <w:tcW w:type="dxa" w:w="711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Required implementation</w:t>
            </w:r>
          </w:p>
        </w:tc>
      </w:tr>
      <w:tr>
        <w:tc>
          <w:tcPr>
            <w:tcW w:type="dxa" w:w="22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Business link</w:t>
            </w:r>
          </w:p>
        </w:tc>
        <w:tc>
          <w:tcPr>
            <w:tcW w:type="dxa" w:w="71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Store businessEntityType, businessEntityId, sourceSystem, sourceReference, and createdFrom workflow. Validate the entity exists or record a controlled “pending source” state with owner and deadline.</w:t>
            </w:r>
          </w:p>
        </w:tc>
      </w:tr>
      <w:tr>
        <w:tc>
          <w:tcPr>
            <w:tcW w:type="dxa" w:w="22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Cancellation outcome</w:t>
            </w:r>
          </w:p>
        </w:tc>
        <w:tc>
          <w:tcPr>
            <w:tcW w:type="dxa" w:w="71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Cancellation is a formal terminal outcome separate from Closed. Only an actor with a cancellation mandate may request/approve it; require reason, time, active role, authority, and linked decision evidence.</w:t>
            </w:r>
          </w:p>
        </w:tc>
      </w:tr>
      <w:tr>
        <w:tc>
          <w:tcPr>
            <w:tcW w:type="dxa" w:w="22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Preserved history</w:t>
            </w:r>
          </w:p>
        </w:tc>
        <w:tc>
          <w:tcPr>
            <w:tcW w:type="dxa" w:w="71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Do not delete the task, activities, evidence, assignments, due dates or prior decisions. Retain one stable task ID and cancellation decision.</w:t>
            </w:r>
          </w:p>
        </w:tc>
      </w:tr>
      <w:tr>
        <w:tc>
          <w:tcPr>
            <w:tcW w:type="dxa" w:w="22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Metric treatment</w:t>
            </w:r>
          </w:p>
        </w:tc>
        <w:tc>
          <w:tcPr>
            <w:tcW w:type="dxa" w:w="71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Exclude cancelled tasks only from metrics whose versioned definitions say so; show cancellation counts and reasons separately. Do not let cancellation reset prior owner overdue history.</w:t>
            </w:r>
          </w:p>
        </w:tc>
      </w:tr>
      <w:tr>
        <w:tc>
          <w:tcPr>
            <w:tcW w:type="dxa" w:w="22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API/state</w:t>
            </w:r>
          </w:p>
        </w:tc>
        <w:tc>
          <w:tcPr>
            <w:tcW w:type="dxa" w:w="71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POST /api/v1/tasks/{id}/cancellation-requests; POST /api/v1/tasks/{id}/cancellation-decisions. API rejects self-approval where policy requires independent review.</w:t>
            </w:r>
          </w:p>
        </w:tc>
      </w:tr>
    </w:tbl>
    <w:p>
      <w:pPr>
        <w:shd w:fill="F3F6FA" w:val="clear"/>
        <w:spacing w:after="100" w:before="50" w:line="235"/>
        <w:ind w:left="130" w:right="100"/>
      </w:pPr>
      <w:r>
        <w:rPr>
          <w:rFonts w:ascii="Consolas" w:cs="Consolas" w:eastAsia="Consolas" w:hAnsi="Consolas"/>
          <w:color w:val="243447"/>
          <w:sz w:val="16"/>
          <w:szCs w:val="16"/>
        </w:rPr>
        <w:t xml:space="preserve">{ "taskId":"task-812", "businessEntity":{"type":"crm_lead","id":"lead-74","sourceSystem":"crm","sourceReference":"CRM-74"}, "outcome":{"state":"CANCELLED","decidedAt":"2026-10-13T10:00:00Z","decidedBy":"emp-8","activeRole":"lead_manager","mandate":"task.cancel.team","reason":"Source work withdrawn"} }</w:t>
      </w:r>
    </w:p>
    <w:p>
      <w:pPr>
        <w:pStyle w:val="Heading1"/>
        <w:keepNext/>
        <w:spacing w:after="100" w:before="280"/>
      </w:pPr>
      <w:r>
        <w:t xml:space="preserve">12. Workflows from start to finish</w:t>
      </w:r>
    </w:p>
    <w:p>
      <w:pPr>
        <w:spacing w:after="90" w:line="270"/>
      </w:pPr>
      <w:r>
        <w:rPr>
          <w:rFonts w:ascii="Arial" w:cs="Arial" w:eastAsia="Arial" w:hAnsi="Arial"/>
          <w:sz w:val="20"/>
          <w:szCs w:val="20"/>
        </w:rPr>
        <w:t xml:space="preserve">The dashboard should expose the current stage, next owner, due date, required evidence, decision history and exit condition for each workflow. A stage change is a backend event; a note or message is not a stage change.</w:t>
      </w:r>
    </w:p>
    <w:p>
      <w:pPr>
        <w:pStyle w:val="Heading2"/>
        <w:keepNext/>
        <w:spacing w:after="100" w:before="180"/>
      </w:pPr>
      <w:r>
        <w:t xml:space="preserve">Stage definitions and stage measures</w:t>
      </w:r>
    </w:p>
    <w:p>
      <w:pPr>
        <w:spacing w:after="90" w:line="270"/>
      </w:pPr>
      <w:r>
        <w:rPr>
          <w:rFonts w:ascii="Arial" w:cs="Arial" w:eastAsia="Arial" w:hAnsi="Arial"/>
          <w:sz w:val="20"/>
          <w:szCs w:val="20"/>
        </w:rPr>
        <w:t xml:space="preserve">Use the diagram’s stages as the default visible workflow. A CRM or campaign integration may add a source-specific state, but it must map to these governed stages and preserve the source status.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000"/>
        <w:gridCol w:w="7360"/>
      </w:tblGrid>
      <w:tr>
        <w:trPr>
          <w:tblHeader/>
        </w:trPr>
        <w:tc>
          <w:tcPr>
            <w:tcW w:type="dxa" w:w="20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Workflow</w:t>
            </w:r>
          </w:p>
        </w:tc>
        <w:tc>
          <w:tcPr>
            <w:tcW w:type="dxa" w:w="736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Stage sequence and accountable record</w:t>
            </w:r>
          </w:p>
        </w:tc>
      </w:tr>
      <w:tr>
        <w:tc>
          <w:tcPr>
            <w:tcW w:type="dxa" w:w="2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Membership work</w:t>
            </w:r>
          </w:p>
        </w:tc>
        <w:tc>
          <w:tcPr>
            <w:tcW w:type="dxa" w:w="73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BDE researches a prospect → outreach is recorded → response and next follow-up are logged → GM meeting is recorded → agreement and fee coordination are linked → review outcome is recorded. Unready prospects stay in a dated follow-up queue. Measure stage age, follow-up completion, meeting/handoff time, agreement completion and outcome by cohort.</w:t>
            </w:r>
          </w:p>
        </w:tc>
      </w:tr>
      <w:tr>
        <w:tc>
          <w:tcPr>
            <w:tcW w:type="dxa" w:w="2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Member deal / royalty</w:t>
            </w:r>
          </w:p>
        </w:tc>
        <w:tc>
          <w:tcPr>
            <w:tcW w:type="dxa" w:w="73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CRM lead → receiving member accepts or rejects → proposal → negotiation → concluded deal → brokerage acceptance → verified royalty payment. IOTS tracks internal owner/actions and evidence; unpaid amounts remain open. Measure acceptance age, proposal/negotiation age, closure, brokerage acceptance, royalty due/collected/outstanding, sync freshness and unresolved payment age.</w:t>
            </w:r>
          </w:p>
        </w:tc>
      </w:tr>
      <w:tr>
        <w:tc>
          <w:tcPr>
            <w:tcW w:type="dxa" w:w="2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Creative and research</w:t>
            </w:r>
          </w:p>
        </w:tc>
        <w:tc>
          <w:tcPr>
            <w:tcW w:type="dxa" w:w="73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Brief or member research data → draft/proofread/design → review → corrections → approval → publish/print → evidence recorded. Keep versions, final link, publication/expiry and distribution proof. Measure time and count at each stage, revisions, first submission on time, proofreading turnaround and proof completeness.</w:t>
            </w:r>
          </w:p>
        </w:tc>
      </w:tr>
    </w:tbl>
    <w:p>
      <w:pPr>
        <w:spacing w:after="90" w:line="270"/>
      </w:pPr>
      <w:r>
        <w:rPr>
          <w:rFonts w:ascii="Arial" w:cs="Arial" w:eastAsia="Arial" w:hAnsi="Arial"/>
          <w:sz w:val="20"/>
          <w:szCs w:val="20"/>
        </w:rPr>
        <w:t xml:space="preserve">For every stage, store enteredAt, exitedAt, owner, activeRole, source entity, due date, transition reason, required evidence checklist and decision reference. Derive stage age from these events; never ask staff to type a stage duration. Stage cancellation/withdrawal remains a separately authorised outcome with reason and history.</w:t>
      </w:r>
    </w:p>
    <w:tbl>
      <w:tblPr>
        <w:tblW w:type="dxa" w:w="930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1900"/>
        <w:gridCol w:w="3700"/>
        <w:gridCol w:w="3700"/>
      </w:tblGrid>
      <w:tr>
        <w:trPr>
          <w:tblHeader/>
        </w:trPr>
        <w:tc>
          <w:tcPr>
            <w:tcW w:type="dxa" w:w="19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Workflow</w:t>
            </w:r>
          </w:p>
        </w:tc>
        <w:tc>
          <w:tcPr>
            <w:tcW w:type="dxa" w:w="37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Example stages</w:t>
            </w:r>
          </w:p>
        </w:tc>
        <w:tc>
          <w:tcPr>
            <w:tcW w:type="dxa" w:w="37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Evidence and measures</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Membership</w:t>
            </w:r>
          </w:p>
        </w:tc>
        <w:tc>
          <w:tcPr>
            <w:tcW w:type="dxa" w:w="37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Prospect identified → source verified → contact attempted → response recorded → meeting/brief → membership review → agreement confirmed → active member → renewal or closed-lost.</w:t>
            </w:r>
          </w:p>
        </w:tc>
        <w:tc>
          <w:tcPr>
            <w:tcW w:type="dxa" w:w="37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Contact/source proof, outreach log, meeting record, signed agreement reference. Measure stage age, conversion by cohort, follow-up completion, agreement confirmation time; targets not set.</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Commercial deal and royalty follow-up</w:t>
            </w:r>
          </w:p>
        </w:tc>
        <w:tc>
          <w:tcPr>
            <w:tcW w:type="dxa" w:w="37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CRM deal imported → source freshness checked → internal giver/receiver assigned → mandate/lead accepted → activity/follow-up → CRM stage update → closed status verified → brokerage shares verified → royalty due calculated → payment allocated → reconciled or disputed.</w:t>
            </w:r>
          </w:p>
        </w:tc>
        <w:tc>
          <w:tcPr>
            <w:tcW w:type="dxa" w:w="37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CRM ID/version, ownership/handoff, external confirmation, agreement/payment evidence. Measure handoff time, stale CRM, due/collected/outstanding/unreconciled by party and age. CRM remains financial truth.</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Creative delivery</w:t>
            </w:r>
          </w:p>
        </w:tc>
        <w:tc>
          <w:tcPr>
            <w:tcW w:type="dxa" w:w="37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Brief received → scope/checklist accepted → assigned → draft version → proofreading → review → revision if needed → final approval → scheduled → published/distributed → proof accepted.</w:t>
            </w:r>
          </w:p>
        </w:tc>
        <w:tc>
          <w:tcPr>
            <w:tcW w:type="dxa" w:w="37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Version/hash, checklist, review reasons, final link and publication proof. Measure stage time, revisions, on-time first submission, publishing adherence, evidence completeness.</w:t>
            </w:r>
          </w:p>
        </w:tc>
      </w:tr>
    </w:tbl>
    <w:p>
      <w:pPr>
        <w:spacing w:after="90" w:line="270"/>
      </w:pPr>
      <w:r>
        <w:rPr>
          <w:rFonts w:ascii="Arial" w:cs="Arial" w:eastAsia="Arial" w:hAnsi="Arial"/>
          <w:sz w:val="20"/>
          <w:szCs w:val="20"/>
        </w:rPr>
        <w:t xml:space="preserve">Each workflow needs a state transition table with allowed actor/mandate, required fields/evidence, notification recipients, due-date rule, cancellation/closure reason and audit event. Returned-for-detail must retain time and reason and follow the configured clock rule.</w:t>
      </w:r>
    </w:p>
    <w:p>
      <w:pPr>
        <w:pStyle w:val="Heading1"/>
        <w:keepNext/>
        <w:spacing w:after="100" w:before="280"/>
      </w:pPr>
      <w:r>
        <w:t xml:space="preserve">13. Manager communication, feedback and evaluation</w:t>
      </w:r>
    </w:p>
    <w:tbl>
      <w:tblPr>
        <w:tblW w:type="dxa" w:w="930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300"/>
        <w:gridCol w:w="7000"/>
      </w:tblGrid>
      <w:tr>
        <w:trPr>
          <w:tblHeader/>
        </w:trPr>
        <w:tc>
          <w:tcPr>
            <w:tcW w:type="dxa" w:w="23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Capability</w:t>
            </w:r>
          </w:p>
        </w:tc>
        <w:tc>
          <w:tcPr>
            <w:tcW w:type="dxa" w:w="70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Design</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Team communication</w:t>
            </w:r>
          </w:p>
        </w:tc>
        <w:tc>
          <w:tcPr>
            <w:tcW w:type="dxa" w:w="7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Team/role announcement or message linked to a task/request/project; audience and delivery receipts; role-checked replies. Distinguish announcement from decision and activity.</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Feedback</w:t>
            </w:r>
          </w:p>
        </w:tc>
        <w:tc>
          <w:tcPr>
            <w:tcW w:type="dxa" w:w="7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Structured feedback linked to a task or review, with author, active role, time, category, evidence/reference and acknowledgement. No anonymous metric-only judgement presented as fact.</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Evaluation</w:t>
            </w:r>
          </w:p>
        </w:tc>
        <w:tc>
          <w:tcPr>
            <w:tcW w:type="dxa" w:w="7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Period-based appraisal packet assembled from approved metric definitions, context labels, sample size, source links and manager narrative. Employee can view allowed data and submit correction/context. An authorised human records final decision and reason.</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Fairness checks</w:t>
            </w:r>
          </w:p>
        </w:tc>
        <w:tc>
          <w:tcPr>
            <w:tcW w:type="dxa" w:w="7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Show leave/external-blocker exclusions, reassignment/deadline history, reviewer latency and missing-data warnings with employee-level measures. Do not rank across unlike roles or incomplete scopes.</w:t>
            </w:r>
          </w:p>
        </w:tc>
      </w:tr>
    </w:tbl>
    <w:p>
      <w:pPr>
        <w:spacing w:after="90" w:line="270"/>
      </w:pPr>
      <w:r>
        <w:rPr>
          <w:rFonts w:ascii="Arial" w:cs="Arial" w:eastAsia="Arial" w:hAnsi="Arial"/>
          <w:sz w:val="20"/>
          <w:szCs w:val="20"/>
        </w:rPr>
        <w:t xml:space="preserve">Suggested APIs: POST /api/v1/teams/{id}/announcements; POST /api/v1/tasks/{id}/feedback; GET /api/v1/evaluations/{employeeId}?period=; POST /api/v1/evaluations/{id}/decisions. Each requires server mandate, scope check and audit.</w:t>
      </w:r>
    </w:p>
    <w:p>
      <w:pPr>
        <w:pStyle w:val="Heading1"/>
        <w:keepNext/>
        <w:spacing w:after="100" w:before="280"/>
      </w:pPr>
      <w:r>
        <w:t xml:space="preserve">14. Enterprise implementation and operational controls</w:t>
      </w:r>
    </w:p>
    <w:tbl>
      <w:tblPr>
        <w:tblW w:type="dxa" w:w="930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000"/>
        <w:gridCol w:w="7300"/>
      </w:tblGrid>
      <w:tr>
        <w:trPr>
          <w:tblHeader/>
        </w:trPr>
        <w:tc>
          <w:tcPr>
            <w:tcW w:type="dxa" w:w="20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Area</w:t>
            </w:r>
          </w:p>
        </w:tc>
        <w:tc>
          <w:tcPr>
            <w:tcW w:type="dxa" w:w="73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Engineering requirement</w:t>
            </w:r>
          </w:p>
        </w:tc>
      </w:tr>
      <w:tr>
        <w:tc>
          <w:tcPr>
            <w:tcW w:type="dxa" w:w="2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API contracts</w:t>
            </w:r>
          </w:p>
        </w:tc>
        <w:tc>
          <w:tcPr>
            <w:tcW w:type="dxa" w:w="7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Versioned JSON contracts, common success/error envelope, request/correlation ID, UTC timestamps, dataAsOf, period, scope, numerator/denominator, target state and metric definition version for every number. Use explicit partial-data and stale-source markers.</w:t>
            </w:r>
          </w:p>
        </w:tc>
      </w:tr>
      <w:tr>
        <w:tc>
          <w:tcPr>
            <w:tcW w:type="dxa" w:w="2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Scoped permissions</w:t>
            </w:r>
          </w:p>
        </w:tc>
        <w:tc>
          <w:tcPr>
            <w:tcW w:type="dxa" w:w="7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Resolve employee ID → assigned role → scope → mandate on backend. Filter query, drilldown, report and export at source. Test direct calls as an unauthorized user.</w:t>
            </w:r>
          </w:p>
        </w:tc>
      </w:tr>
      <w:tr>
        <w:tc>
          <w:tcPr>
            <w:tcW w:type="dxa" w:w="2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Scale and responsiveness</w:t>
            </w:r>
          </w:p>
        </w:tc>
        <w:tc>
          <w:tcPr>
            <w:tcW w:type="dxa" w:w="7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For expensive aggregates, calculate versioned metric snapshots by scope/period. Cache only with permission-aware keys and rule-version invalidation. Define freshness per panel. Paginate/filter server-side.</w:t>
            </w:r>
          </w:p>
        </w:tc>
      </w:tr>
      <w:tr>
        <w:tc>
          <w:tcPr>
            <w:tcW w:type="dxa" w:w="2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Report jobs</w:t>
            </w:r>
          </w:p>
        </w:tc>
        <w:tc>
          <w:tcPr>
            <w:tcW w:type="dxa" w:w="7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Schedule and queue long reports; persist status, requester, filters, output format, retention/expiry, retries and delivery result. Avoid holding HTTP requests open for large reports.</w:t>
            </w:r>
          </w:p>
        </w:tc>
      </w:tr>
      <w:tr>
        <w:tc>
          <w:tcPr>
            <w:tcW w:type="dxa" w:w="2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Calendars and timezones</w:t>
            </w:r>
          </w:p>
        </w:tc>
        <w:tc>
          <w:tcPr>
            <w:tcW w:type="dxa" w:w="7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Use office/employee policy timezone and versioned holiday/shift calendars. Store event times in UTC plus applicable local calendar reference. Define DST and partial-period handling.</w:t>
            </w:r>
          </w:p>
        </w:tc>
      </w:tr>
      <w:tr>
        <w:tc>
          <w:tcPr>
            <w:tcW w:type="dxa" w:w="2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Privacy/security</w:t>
            </w:r>
          </w:p>
        </w:tc>
        <w:tc>
          <w:tcPr>
            <w:tcW w:type="dxa" w:w="7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Set retention by data type and purpose; restrict evidence files; scan uploads before access; encrypt in transit/at rest as platform policy requires; redact personal data in logs; audit downloads. Obtain legal/privacy review for HR and location processing before launch.</w:t>
            </w:r>
          </w:p>
        </w:tc>
      </w:tr>
      <w:tr>
        <w:tc>
          <w:tcPr>
            <w:tcW w:type="dxa" w:w="2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UI quality</w:t>
            </w:r>
          </w:p>
        </w:tc>
        <w:tc>
          <w:tcPr>
            <w:tcW w:type="dxa" w:w="7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Implement loading, empty, error, denied, stale and partial-data states. Support keyboard, screen-reader labels, contrast, responsive mobile layouts, accessible tables and non-color-only risk indicators.</w:t>
            </w:r>
          </w:p>
        </w:tc>
      </w:tr>
      <w:tr>
        <w:tc>
          <w:tcPr>
            <w:tcW w:type="dxa" w:w="2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Metric testing</w:t>
            </w:r>
          </w:p>
        </w:tc>
        <w:tc>
          <w:tcPr>
            <w:tcW w:type="dxa" w:w="7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Create deterministic fixtures for denominators, exclusions, extensions, reassignment, first-submission time, reviewer delay, missing attendance, N/A and small samples. Compare API output with hand-calculated expected results.</w:t>
            </w:r>
          </w:p>
        </w:tc>
      </w:tr>
      <w:tr>
        <w:tc>
          <w:tcPr>
            <w:tcW w:type="dxa" w:w="2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Operational readiness</w:t>
            </w:r>
          </w:p>
        </w:tc>
        <w:tc>
          <w:tcPr>
            <w:tcW w:type="dxa" w:w="7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Record CRM sync status/freshness/errors; alert on failed sync. Back up database and evidence references, test recovery, retain migration/rollback records, monitor notification delivery, and provide incident/runbook ownership.</w:t>
            </w:r>
          </w:p>
        </w:tc>
      </w:tr>
      <w:tr>
        <w:tc>
          <w:tcPr>
            <w:tcW w:type="dxa" w:w="2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Security testing</w:t>
            </w:r>
          </w:p>
        </w:tc>
        <w:tc>
          <w:tcPr>
            <w:tcW w:type="dxa" w:w="7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Exercise authentication, role switch, scope boundary, session revocation, upload scanning, report/export access, rate limits and audit completeness. Do not log secrets.</w:t>
            </w:r>
          </w:p>
        </w:tc>
      </w:tr>
    </w:tbl>
    <w:p>
      <w:pPr>
        <w:spacing w:after="90" w:line="270"/>
      </w:pPr>
      <w:r>
        <w:rPr>
          <w:rFonts w:ascii="Arial" w:cs="Arial" w:eastAsia="Arial" w:hAnsi="Arial"/>
          <w:sz w:val="20"/>
          <w:szCs w:val="20"/>
        </w:rPr>
        <w:t xml:space="preserve">Suggested technical measures: API availability, request error rate, p50/p95 latency, report queue age/failure, metric snapshot freshness, CRM sync age/failure, notification delivery, backup age and last verified recovery. Every operational target is “Not configured” until approved.</w:t>
      </w:r>
    </w:p>
    <w:p>
      <w:pPr>
        <w:pStyle w:val="Heading1"/>
        <w:keepNext/>
        <w:spacing w:after="100" w:before="280"/>
      </w:pPr>
      <w:r>
        <w:t xml:space="preserve">15. Risk flags and routing</w:t>
      </w:r>
    </w:p>
    <w:p>
      <w:pPr>
        <w:spacing w:after="90" w:line="270"/>
      </w:pPr>
      <w:r>
        <w:rPr>
          <w:rFonts w:ascii="Arial" w:cs="Arial" w:eastAsia="Arial" w:hAnsi="Arial"/>
          <w:sz w:val="20"/>
          <w:szCs w:val="20"/>
        </w:rPr>
        <w:t xml:space="preserve">A flag describes an observable condition, not a judgment about a person. Each flag includes rule ID/version, values, source records, next authorised role, decision due time and clear condition. Severity set must be configured; the references differ on three levels versus adding Critical.</w:t>
      </w:r>
    </w:p>
    <w:tbl>
      <w:tblPr>
        <w:tblW w:type="dxa" w:w="941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150"/>
        <w:gridCol w:w="4000"/>
        <w:gridCol w:w="3260"/>
      </w:tblGrid>
      <w:tr>
        <w:trPr>
          <w:tblHeader/>
        </w:trPr>
        <w:tc>
          <w:tcPr>
            <w:tcW w:type="dxa" w:w="215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Signal</w:t>
            </w:r>
          </w:p>
        </w:tc>
        <w:tc>
          <w:tcPr>
            <w:tcW w:type="dxa" w:w="40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Evidence and display</w:t>
            </w:r>
          </w:p>
        </w:tc>
        <w:tc>
          <w:tcPr>
            <w:tcW w:type="dxa" w:w="326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Route / clear condition</w:t>
            </w:r>
          </w:p>
        </w:tc>
      </w:tr>
      <w:tr>
        <w:tc>
          <w:tcPr>
            <w:tcW w:type="dxa" w:w="21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Overdue/due soon without update</w:t>
            </w:r>
          </w:p>
        </w:tc>
        <w:tc>
          <w:tcPr>
            <w:tcW w:type="dxa" w:w="4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Current/original due date, task state, qualifying activity, age bucket.</w:t>
            </w:r>
          </w:p>
        </w:tc>
        <w:tc>
          <w:tcPr>
            <w:tcW w:type="dxa" w:w="32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Assignee and Lead Manager; clear on closure, approved extension or recorded resolution.</w:t>
            </w:r>
          </w:p>
        </w:tc>
      </w:tr>
      <w:tr>
        <w:tc>
          <w:tcPr>
            <w:tcW w:type="dxa" w:w="21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Review waiting</w:t>
            </w:r>
          </w:p>
        </w:tc>
        <w:tc>
          <w:tcPr>
            <w:tcW w:type="dxa" w:w="4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Submission time, assigned reviewer and business-hour age.</w:t>
            </w:r>
          </w:p>
        </w:tc>
        <w:tc>
          <w:tcPr>
            <w:tcW w:type="dxa" w:w="32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Reviewer; escalate per configured wait rule; clear on decision.</w:t>
            </w:r>
          </w:p>
        </w:tc>
      </w:tr>
      <w:tr>
        <w:tc>
          <w:tcPr>
            <w:tcW w:type="dxa" w:w="21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Repeated transfer</w:t>
            </w:r>
          </w:p>
        </w:tc>
        <w:tc>
          <w:tcPr>
            <w:tcW w:type="dxa" w:w="4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Owner history, count and reasons.</w:t>
            </w:r>
          </w:p>
        </w:tc>
        <w:tc>
          <w:tcPr>
            <w:tcW w:type="dxa" w:w="32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Senior Manager/GM only per mandate; clear when reasoned next action recorded.</w:t>
            </w:r>
          </w:p>
        </w:tc>
      </w:tr>
      <w:tr>
        <w:tc>
          <w:tcPr>
            <w:tcW w:type="dxa" w:w="21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Blocker</w:t>
            </w:r>
          </w:p>
        </w:tc>
        <w:tc>
          <w:tcPr>
            <w:tcW w:type="dxa" w:w="4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Age, internal/external label, severity, impact, evidence and owner.</w:t>
            </w:r>
          </w:p>
        </w:tc>
        <w:tc>
          <w:tcPr>
            <w:tcW w:type="dxa" w:w="32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Role selected by impact/mandate; clear on verified resolution or approved mitigation.</w:t>
            </w:r>
          </w:p>
        </w:tc>
      </w:tr>
      <w:tr>
        <w:tc>
          <w:tcPr>
            <w:tcW w:type="dxa" w:w="21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Evidence rejected repeatedly</w:t>
            </w:r>
          </w:p>
        </w:tc>
        <w:tc>
          <w:tcPr>
            <w:tcW w:type="dxa" w:w="4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Checklist item, versions and reviewer reasons.</w:t>
            </w:r>
          </w:p>
        </w:tc>
        <w:tc>
          <w:tcPr>
            <w:tcW w:type="dxa" w:w="32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Assignee/reviewer and manager; clear when required items accepted or formal cancellation.</w:t>
            </w:r>
          </w:p>
        </w:tc>
      </w:tr>
      <w:tr>
        <w:tc>
          <w:tcPr>
            <w:tcW w:type="dxa" w:w="21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Attendance exception</w:t>
            </w:r>
          </w:p>
        </w:tc>
        <w:tc>
          <w:tcPr>
            <w:tcW w:type="dxa" w:w="4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Schedule and punch history, approved leave, correction status.</w:t>
            </w:r>
          </w:p>
        </w:tc>
        <w:tc>
          <w:tcPr>
            <w:tcW w:type="dxa" w:w="32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Employee/Admin; manager only where permitted; clear on documented correction/decision.</w:t>
            </w:r>
          </w:p>
        </w:tc>
      </w:tr>
      <w:tr>
        <w:tc>
          <w:tcPr>
            <w:tcW w:type="dxa" w:w="21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Unknown location checks</w:t>
            </w:r>
          </w:p>
        </w:tc>
        <w:tc>
          <w:tcPr>
            <w:tcW w:type="dxa" w:w="4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Explicit login/check-in/field checks only; show accuracy and review context.</w:t>
            </w:r>
          </w:p>
        </w:tc>
        <w:tc>
          <w:tcPr>
            <w:tcW w:type="dxa" w:w="32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Authorised admin/security role; never auto-label misconduct. Clear after review.</w:t>
            </w:r>
          </w:p>
        </w:tc>
      </w:tr>
      <w:tr>
        <w:tc>
          <w:tcPr>
            <w:tcW w:type="dxa" w:w="21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Request aging / overload</w:t>
            </w:r>
          </w:p>
        </w:tc>
        <w:tc>
          <w:tcPr>
            <w:tcW w:type="dxa" w:w="4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Request business-hour age; estimates vs scheduled capacity plus coverage.</w:t>
            </w:r>
          </w:p>
        </w:tc>
        <w:tc>
          <w:tcPr>
            <w:tcW w:type="dxa" w:w="32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Configured approver/Lead/Senior Manager; clear on decision/capacity action.</w:t>
            </w:r>
          </w:p>
        </w:tc>
      </w:tr>
      <w:tr>
        <w:tc>
          <w:tcPr>
            <w:tcW w:type="dxa" w:w="21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Royalty mismatch / stale CRM</w:t>
            </w:r>
          </w:p>
        </w:tc>
        <w:tc>
          <w:tcPr>
            <w:tcW w:type="dxa" w:w="4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CRM version, share basis, expected/verified amount and freshness.</w:t>
            </w:r>
          </w:p>
        </w:tc>
        <w:tc>
          <w:tcPr>
            <w:tcW w:type="dxa" w:w="32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Finance authority/GM; Chairman material summary. Clear on reconciliation or documented dispute.</w:t>
            </w:r>
          </w:p>
        </w:tc>
      </w:tr>
      <w:tr>
        <w:tc>
          <w:tcPr>
            <w:tcW w:type="dxa" w:w="21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Authentication/service anomaly</w:t>
            </w:r>
          </w:p>
        </w:tc>
        <w:tc>
          <w:tcPr>
            <w:tcW w:type="dxa" w:w="40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Redacted events, alert rule, affected service/account and case status.</w:t>
            </w:r>
          </w:p>
        </w:tc>
        <w:tc>
          <w:tcPr>
            <w:tcW w:type="dxa" w:w="32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IT/security role; account action only by configured authority. Clear on incident decision.</w:t>
            </w:r>
          </w:p>
        </w:tc>
      </w:tr>
    </w:tbl>
    <w:p>
      <w:pPr>
        <w:pStyle w:val="Heading2"/>
        <w:keepNext/>
        <w:spacing w:after="100" w:before="180"/>
      </w:pPr>
      <w:r>
        <w:t xml:space="preserve">Minimum risk record</w:t>
      </w:r>
    </w:p>
    <w:p>
      <w:pPr>
        <w:shd w:fill="F3F6FA" w:val="clear"/>
        <w:spacing w:after="100" w:before="50" w:line="235"/>
        <w:ind w:left="130" w:right="100"/>
      </w:pPr>
      <w:r>
        <w:rPr>
          <w:rFonts w:ascii="Consolas" w:cs="Consolas" w:eastAsia="Consolas" w:hAnsi="Consolas"/>
          <w:color w:val="243447"/>
          <w:sz w:val="16"/>
          <w:szCs w:val="16"/>
        </w:rPr>
        <w:t xml:space="preserve">{ riskId, ruleId, ruleVersion, severity, observedAt, scopeRef, subjectRef, evidenceRefs[], observedValues, reasonText, nextRole, assignedTo, decisionDueAt, status, decisionRef, clearCondition, clearedAt }</w:t>
      </w:r>
    </w:p>
    <w:p>
      <w:pPr>
        <w:pStyle w:val="Heading1"/>
        <w:keepNext/>
        <w:spacing w:after="100" w:before="280"/>
      </w:pPr>
      <w:r>
        <w:t xml:space="preserve">16. Additional data model fields</w:t>
      </w:r>
    </w:p>
    <w:tbl>
      <w:tblPr>
        <w:tblW w:type="dxa" w:w="941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1900"/>
        <w:gridCol w:w="4900"/>
        <w:gridCol w:w="2610"/>
      </w:tblGrid>
      <w:tr>
        <w:trPr>
          <w:tblHeader/>
        </w:trPr>
        <w:tc>
          <w:tcPr>
            <w:tcW w:type="dxa" w:w="19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Record area</w:t>
            </w:r>
          </w:p>
        </w:tc>
        <w:tc>
          <w:tcPr>
            <w:tcW w:type="dxa" w:w="49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Fields or history required</w:t>
            </w:r>
          </w:p>
        </w:tc>
        <w:tc>
          <w:tcPr>
            <w:tcW w:type="dxa" w:w="261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Purpose</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Role/permission</w:t>
            </w:r>
          </w:p>
        </w:tc>
        <w:tc>
          <w:tcPr>
            <w:tcW w:type="dxa" w:w="4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roleAssignmentId, employeeId, roleId, scopeRefs, mandateId, validFrom/to, grantedBy, reason, reviewedAt, permissionVersion.</w:t>
            </w:r>
          </w:p>
        </w:tc>
        <w:tc>
          <w:tcPr>
            <w:tcW w:type="dxa" w:w="26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Multiple roles, scoped access, approval authority.</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Task/assignment</w:t>
            </w:r>
          </w:p>
        </w:tc>
        <w:tc>
          <w:tcPr>
            <w:tcW w:type="dxa" w:w="4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originalDueAt, dueDate versions, estimateMinutes, task type, checklist version, assignee/reviewer history, firstSubmittedAt, cancel reason.</w:t>
            </w:r>
          </w:p>
        </w:tc>
        <w:tc>
          <w:tcPr>
            <w:tcW w:type="dxa" w:w="26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Fair deadline/workload measures and stable task identity.</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Events/reviews</w:t>
            </w:r>
          </w:p>
        </w:tc>
        <w:tc>
          <w:tcPr>
            <w:tcW w:type="dxa" w:w="4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event ID, actor, active role, type, occurred/recorded time, state transition, submission version, decision, reason, mandate.</w:t>
            </w:r>
          </w:p>
        </w:tc>
        <w:tc>
          <w:tcPr>
            <w:tcW w:type="dxa" w:w="26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Reconstruct status and calculate on-time/review latency.</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Evidence</w:t>
            </w:r>
          </w:p>
        </w:tc>
        <w:tc>
          <w:tcPr>
            <w:tcW w:type="dxa" w:w="4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Checklist item, version/hash/ref/status/reviewer/reason/supersedes link and retention class.</w:t>
            </w:r>
          </w:p>
        </w:tc>
        <w:tc>
          <w:tcPr>
            <w:tcW w:type="dxa" w:w="26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Evidence gate and audit trail.</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Attendance/schedule</w:t>
            </w:r>
          </w:p>
        </w:tc>
        <w:tc>
          <w:tcPr>
            <w:tcW w:type="dxa" w:w="4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schedule/timezone/grace version, punch events, location tag/source/accuracy, correction link/reason, leave interval.</w:t>
            </w:r>
          </w:p>
        </w:tc>
        <w:tc>
          <w:tcPr>
            <w:tcW w:type="dxa" w:w="26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Attendance/punctuality denominators and transparent corrections.</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Issues/risks</w:t>
            </w:r>
          </w:p>
        </w:tc>
        <w:tc>
          <w:tcPr>
            <w:tcW w:type="dxa" w:w="4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context, impact, severity, owner/routing, opened/resolved time, decision, rule version and clear condition.</w:t>
            </w:r>
          </w:p>
        </w:tc>
        <w:tc>
          <w:tcPr>
            <w:tcW w:type="dxa" w:w="26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Blocker age and explainable alerts.</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Metric configuration</w:t>
            </w:r>
          </w:p>
        </w:tc>
        <w:tc>
          <w:tcPr>
            <w:tcW w:type="dxa" w:w="4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definition/version/formula, target nullable, sample minimum, calendar, exclusions, effective period, approver.</w:t>
            </w:r>
          </w:p>
        </w:tc>
        <w:tc>
          <w:tcPr>
            <w:tcW w:type="dxa" w:w="26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Reproducibility and no retroactive hidden rule changes.</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CRM/royalty</w:t>
            </w:r>
          </w:p>
        </w:tc>
        <w:tc>
          <w:tcPr>
            <w:tcW w:type="dxa" w:w="4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CRM ID/version/freshness, party brokerage shares, split/rate versions, due/collected allocations, proof, reconciliation status.</w:t>
            </w:r>
          </w:p>
        </w:tc>
        <w:tc>
          <w:tcPr>
            <w:tcW w:type="dxa" w:w="26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CRM as financial truth and clear provisional amounts.</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Governance/content</w:t>
            </w:r>
          </w:p>
        </w:tc>
        <w:tc>
          <w:tcPr>
            <w:tcW w:type="dxa" w:w="4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obligation owner/type/due/state/evidence; announcement audience/channel/delivery.</w:t>
            </w:r>
          </w:p>
        </w:tc>
        <w:tc>
          <w:tcPr>
            <w:tcW w:type="dxa" w:w="26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GM governance and Admin communications.</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System/audit</w:t>
            </w:r>
          </w:p>
        </w:tc>
        <w:tc>
          <w:tcPr>
            <w:tcW w:type="dxa" w:w="4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probe coverage, route telemetry, incident timeline, deploy/migration checksum/outcome/recovery; audit actor/active role/entity/purpose/export ref.</w:t>
            </w:r>
          </w:p>
        </w:tc>
        <w:tc>
          <w:tcPr>
            <w:tcW w:type="dxa" w:w="26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IT reliability, traceability, export accountability.</w:t>
            </w:r>
          </w:p>
        </w:tc>
      </w:tr>
    </w:tbl>
    <w:p>
      <w:pPr>
        <w:pStyle w:val="Heading2"/>
        <w:keepNext/>
        <w:spacing w:after="100" w:before="180"/>
      </w:pPr>
      <w:r>
        <w:t xml:space="preserve">Task entity and cancellation fields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3300"/>
        <w:gridCol w:w="6060"/>
      </w:tblGrid>
      <w:tr>
        <w:trPr>
          <w:tblHeader/>
        </w:trPr>
        <w:tc>
          <w:tcPr>
            <w:tcW w:type="dxa" w:w="33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Fields</w:t>
            </w:r>
          </w:p>
        </w:tc>
        <w:tc>
          <w:tcPr>
            <w:tcW w:type="dxa" w:w="606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Purpose and rule</w:t>
            </w:r>
          </w:p>
        </w:tc>
      </w:tr>
      <w:tr>
        <w:tc>
          <w:tcPr>
            <w:tcW w:type="dxa" w:w="3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businessEntityType, businessEntityId, sourceSystem, sourceReference</w:t>
            </w:r>
          </w:p>
        </w:tc>
        <w:tc>
          <w:tcPr>
            <w:tcW w:type="dxa" w:w="60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Required link from every task to its originating member office, CRM lead, campaign, conference, IT incident or approved internal entity. Validate reference and preserve source freshness.</w:t>
            </w:r>
          </w:p>
        </w:tc>
      </w:tr>
      <w:tr>
        <w:tc>
          <w:tcPr>
            <w:tcW w:type="dxa" w:w="3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cancelRequestedAt, cancelRequestedBy, cancelReason, cancellationDecisionId</w:t>
            </w:r>
          </w:p>
        </w:tc>
        <w:tc>
          <w:tcPr>
            <w:tcW w:type="dxa" w:w="60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Request record with reason and evidence; cancellation is a separately authorised outcome and is not Closed.</w:t>
            </w:r>
          </w:p>
        </w:tc>
      </w:tr>
      <w:tr>
        <w:tc>
          <w:tcPr>
            <w:tcW w:type="dxa" w:w="3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cancelledAt, cancelledBy, activeRole, mandateId, cancellationReason, cancellationRuleVersion</w:t>
            </w:r>
          </w:p>
        </w:tc>
        <w:tc>
          <w:tcPr>
            <w:tcW w:type="dxa" w:w="60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Final decision record. Preserve task ID, assignments, activities, evidence and due-date history. Exclude from a metric only under its definition; report cancellations separately.</w:t>
            </w:r>
          </w:p>
        </w:tc>
      </w:tr>
    </w:tbl>
    <w:p>
      <w:pPr>
        <w:pStyle w:val="Heading1"/>
        <w:keepNext/>
        <w:spacing w:after="100" w:before="280"/>
      </w:pPr>
      <w:r>
        <w:t xml:space="preserve">17. Reports and recognition</w:t>
      </w:r>
    </w:p>
    <w:p>
      <w:pPr>
        <w:spacing w:after="90" w:line="270"/>
      </w:pPr>
      <w:r>
        <w:rPr>
          <w:rFonts w:ascii="Arial" w:cs="Arial" w:eastAsia="Arial" w:hAnsi="Arial"/>
          <w:sz w:val="20"/>
          <w:szCs w:val="20"/>
        </w:rPr>
        <w:t xml:space="preserve">Daily, weekly and monthly reports are generated per recipient and permitted scope. Timing and delivery channel are Not set until approved. Reports show period, as-of time, definition versions, source completeness and links to records. Generation/export is audited. Daily: completions, due/overdue work, blockers, attendance exceptions and next priorities. Weekly: team delivery, workload and recurring issues with sample sizes. Monthly: verified metric periods, royalty reconciliation and recognition eligibility.</w:t>
      </w:r>
    </w:p>
    <w:p>
      <w:pPr>
        <w:spacing w:after="90" w:line="270"/>
      </w:pPr>
      <w:r>
        <w:rPr>
          <w:rFonts w:ascii="Arial" w:cs="Arial" w:eastAsia="Arial" w:hAnsi="Arial"/>
          <w:sz w:val="20"/>
          <w:szCs w:val="20"/>
        </w:rPr>
        <w:t xml:space="preserve">Recognition thresholds and weights found in the drafts are proposals, not approved rules. Until a policy owner approves completion/on-time/revision/attendance thresholds, minimum task count, weightings and final sign-off authority, show “Recognition rules not configured” and do not rank employees. If approved, preserve the rule version and evidence inputs for each closed month. Missing data is “insufficient data”, not a zero or automatic failure. Three consecutive qualifying months may create a Chairman review item only if that authority is confirmed.</w:t>
      </w:r>
    </w:p>
    <w:p>
      <w:pPr>
        <w:pStyle w:val="Heading1"/>
        <w:keepNext/>
        <w:spacing w:after="100" w:before="280"/>
      </w:pPr>
      <w:r>
        <w:t xml:space="preserve">18. Decisions required before implementation</w:t>
      </w:r>
    </w:p>
    <w:tbl>
      <w:tblPr>
        <w:tblW w:type="dxa" w:w="941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300"/>
        <w:gridCol w:w="3600"/>
        <w:gridCol w:w="3510"/>
      </w:tblGrid>
      <w:tr>
        <w:trPr>
          <w:tblHeader/>
        </w:trPr>
        <w:tc>
          <w:tcPr>
            <w:tcW w:type="dxa" w:w="23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Decision</w:t>
            </w:r>
          </w:p>
        </w:tc>
        <w:tc>
          <w:tcPr>
            <w:tcW w:type="dxa" w:w="36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Why</w:t>
            </w:r>
          </w:p>
        </w:tc>
        <w:tc>
          <w:tcPr>
            <w:tcW w:type="dxa" w:w="351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Until decided</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Role names and mapping</w:t>
            </w:r>
          </w:p>
        </w:tc>
        <w:tc>
          <w:tcPr>
            <w:tcW w:type="dxa" w:w="36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Diagram defines ten roles; references split design/social into separate screens.</w:t>
            </w:r>
          </w:p>
        </w:tc>
        <w:tc>
          <w:tcPr>
            <w:tcW w:type="dxa" w:w="35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Use one Creatives Communication Associate role with two views; confirm aliases.</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Scope and approval mandate</w:t>
            </w:r>
          </w:p>
        </w:tc>
        <w:tc>
          <w:tcPr>
            <w:tcW w:type="dxa" w:w="36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 job title must not grant decision powers.</w:t>
            </w:r>
          </w:p>
        </w:tc>
        <w:tc>
          <w:tcPr>
            <w:tcW w:type="dxa" w:w="35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Deny decision without explicit backend mandate.</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Business calendar</w:t>
            </w:r>
          </w:p>
        </w:tc>
        <w:tc>
          <w:tcPr>
            <w:tcW w:type="dxa" w:w="36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Timezone, shifts, holidays and business-hour rules alter denominators.</w:t>
            </w:r>
          </w:p>
        </w:tc>
        <w:tc>
          <w:tcPr>
            <w:tcW w:type="dxa" w:w="35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Show timezone/period; label unavailable when missing.</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Targets and sample threshold</w:t>
            </w:r>
          </w:p>
        </w:tc>
        <w:tc>
          <w:tcPr>
            <w:tcW w:type="dxa" w:w="36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Draft targets conflict or lack approval.</w:t>
            </w:r>
          </w:p>
        </w:tc>
        <w:tc>
          <w:tcPr>
            <w:tcW w:type="dxa" w:w="35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Target not configured; sample minimum 5 remains proposed.</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Deadline extension and transfer attribution</w:t>
            </w:r>
          </w:p>
        </w:tc>
        <w:tc>
          <w:tcPr>
            <w:tcW w:type="dxa" w:w="36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Needed for fair reporting across owners.</w:t>
            </w:r>
          </w:p>
        </w:tc>
        <w:tc>
          <w:tcPr>
            <w:tcW w:type="dxa" w:w="35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Preserve history; unresolved attribution must be visible.</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Attendance/location retention</w:t>
            </w:r>
          </w:p>
        </w:tc>
        <w:tc>
          <w:tcPr>
            <w:tcW w:type="dxa" w:w="36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Purpose and access must be proportionate and explicit.</w:t>
            </w:r>
          </w:p>
        </w:tc>
        <w:tc>
          <w:tcPr>
            <w:tcW w:type="dxa" w:w="35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Capture only authorised events; define retention before release.</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Evidence storage and access</w:t>
            </w:r>
          </w:p>
        </w:tc>
        <w:tc>
          <w:tcPr>
            <w:tcW w:type="dxa" w:w="36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Artifacts can hold confidential business information.</w:t>
            </w:r>
          </w:p>
        </w:tc>
        <w:tc>
          <w:tcPr>
            <w:tcW w:type="dxa" w:w="35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Restrict by scope and audit views/downloads; define retention.</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CRM royalty basis</w:t>
            </w:r>
          </w:p>
        </w:tc>
        <w:tc>
          <w:tcPr>
            <w:tcW w:type="dxa" w:w="36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Party shares/source and reconciliation need confirmation.</w:t>
            </w:r>
          </w:p>
        </w:tc>
        <w:tc>
          <w:tcPr>
            <w:tcW w:type="dxa" w:w="35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Show provisional values; never assume 30/70 split.</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Risk severity/routing</w:t>
            </w:r>
          </w:p>
        </w:tc>
        <w:tc>
          <w:tcPr>
            <w:tcW w:type="dxa" w:w="36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References differ on three vs four levels.</w:t>
            </w:r>
          </w:p>
        </w:tc>
        <w:tc>
          <w:tcPr>
            <w:tcW w:type="dxa" w:w="35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Keep severity and thresholds configurable.</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Recognition policy</w:t>
            </w:r>
          </w:p>
        </w:tc>
        <w:tc>
          <w:tcPr>
            <w:tcW w:type="dxa" w:w="36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Scores affect people and draft criteria conflict.</w:t>
            </w:r>
          </w:p>
        </w:tc>
        <w:tc>
          <w:tcPr>
            <w:tcW w:type="dxa" w:w="35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Do not rank until approved.</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Admin/platform privilege boundary</w:t>
            </w:r>
          </w:p>
        </w:tc>
        <w:tc>
          <w:tcPr>
            <w:tcW w:type="dxa" w:w="36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Responsibilities references vary.</w:t>
            </w:r>
          </w:p>
        </w:tc>
        <w:tc>
          <w:tcPr>
            <w:tcW w:type="dxa" w:w="35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Least privilege; business mandates remain separate.</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API/session/database/hosting</w:t>
            </w:r>
          </w:p>
        </w:tc>
        <w:tc>
          <w:tcPr>
            <w:tcW w:type="dxa" w:w="36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Required technical decisions before integration.</w:t>
            </w:r>
          </w:p>
        </w:tc>
        <w:tc>
          <w:tcPr>
            <w:tcW w:type="dxa" w:w="35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Approve versioned contract, secure session, DB/migrations and deployment.</w:t>
            </w:r>
          </w:p>
        </w:tc>
      </w:tr>
      <w:tr>
        <w:tc>
          <w:tcPr>
            <w:tcW w:type="dxa" w:w="23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Service objectives</w:t>
            </w:r>
          </w:p>
        </w:tc>
        <w:tc>
          <w:tcPr>
            <w:tcW w:type="dxa" w:w="36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Availability/latency thresholds unspecified.</w:t>
            </w:r>
          </w:p>
        </w:tc>
        <w:tc>
          <w:tcPr>
            <w:tcW w:type="dxa" w:w="351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Show measurement/coverage; target not configured.</w:t>
            </w:r>
          </w:p>
        </w:tc>
      </w:tr>
    </w:tbl>
    <w:p>
      <w:pPr>
        <w:pStyle w:val="Heading1"/>
        <w:keepNext/>
        <w:spacing w:after="100" w:before="280"/>
      </w:pPr>
      <w:r>
        <w:t xml:space="preserve">19. Recommended build order</w:t>
      </w:r>
    </w:p>
    <w:p>
      <w:pPr>
        <w:spacing w:after="90" w:line="270"/>
      </w:pPr>
      <w:r>
        <w:rPr>
          <w:rFonts w:ascii="Arial" w:cs="Arial" w:eastAsia="Arial" w:hAnsi="Arial"/>
          <w:sz w:val="20"/>
          <w:szCs w:val="20"/>
        </w:rPr>
        <w:t xml:space="preserve">Build the work-entry roles first, then management summaries that depend on their records. At each stage connect UI to API, verify permissions and test success, denied, empty and failure states.</w:t>
      </w:r>
    </w:p>
    <w:tbl>
      <w:tblPr>
        <w:tblW w:type="dxa" w:w="941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1900"/>
        <w:gridCol w:w="4660"/>
        <w:gridCol w:w="2850"/>
      </w:tblGrid>
      <w:tr>
        <w:trPr>
          <w:tblHeader/>
        </w:trPr>
        <w:tc>
          <w:tcPr>
            <w:tcW w:type="dxa" w:w="19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Phase</w:t>
            </w:r>
          </w:p>
        </w:tc>
        <w:tc>
          <w:tcPr>
            <w:tcW w:type="dxa" w:w="466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Work</w:t>
            </w:r>
          </w:p>
        </w:tc>
        <w:tc>
          <w:tcPr>
            <w:tcW w:type="dxa" w:w="285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Exit check</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0. Decisions and contract</w:t>
            </w:r>
          </w:p>
        </w:tc>
        <w:tc>
          <w:tcPr>
            <w:tcW w:type="dxa" w:w="46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Confirm role map, mandates, calendars, evidence, target owners, retention, CRM fields, session/database and API envelope.</w:t>
            </w:r>
          </w:p>
        </w:tc>
        <w:tc>
          <w:tcPr>
            <w:tcW w:type="dxa" w:w="28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Approved decision log and first data/API contracts.</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1. Shared foundation</w:t>
            </w:r>
          </w:p>
        </w:tc>
        <w:tc>
          <w:tcPr>
            <w:tcW w:type="dxa" w:w="46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API entry, identity/role context, migrations, append-only history, health, Vite proxy and nonproduction seed.</w:t>
            </w:r>
          </w:p>
        </w:tc>
        <w:tc>
          <w:tcPr>
            <w:tcW w:type="dxa" w:w="28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Both apps start; frontend reaches API; clean database setup works.</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2. Executive workbench</w:t>
            </w:r>
          </w:p>
        </w:tc>
        <w:tc>
          <w:tcPr>
            <w:tcW w:type="dxa" w:w="46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Personal task detail, activity, effort, checklist, submission, attendance and request self-service.</w:t>
            </w:r>
          </w:p>
        </w:tc>
        <w:tc>
          <w:tcPr>
            <w:tcW w:type="dxa" w:w="28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Task lifecycle is recorded; own-scope access works.</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3. Lead Manager workbench</w:t>
            </w:r>
          </w:p>
        </w:tc>
        <w:tc>
          <w:tcPr>
            <w:tcW w:type="dxa" w:w="46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Team allocation, review/evidence decisions, feedback, extensions/transfers and request queue.</w:t>
            </w:r>
          </w:p>
        </w:tc>
        <w:tc>
          <w:tcPr>
            <w:tcW w:type="dxa" w:w="28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Reviewer differs from submitter; transition and evidence gates enforced.</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4. BDE and Creatives work creation</w:t>
            </w:r>
          </w:p>
        </w:tc>
        <w:tc>
          <w:tcPr>
            <w:tcW w:type="dxa" w:w="46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Outreach, follow-up, lead handoff, asset version/publication and CRM references.</w:t>
            </w:r>
          </w:p>
        </w:tc>
        <w:tc>
          <w:tcPr>
            <w:tcW w:type="dxa" w:w="28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Verified sources/freshness and auditable ownership available.</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5. General Manager view</w:t>
            </w:r>
          </w:p>
        </w:tc>
        <w:tc>
          <w:tcPr>
            <w:tcW w:type="dxa" w:w="46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Employee monitor table, task/attendance/request/blocker/governance summaries and royalty reconciliation.</w:t>
            </w:r>
          </w:p>
        </w:tc>
        <w:tc>
          <w:tcPr>
            <w:tcW w:type="dxa" w:w="28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Every row drills into authorised sources; missing data is visible.</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6. Senior Manager view</w:t>
            </w:r>
          </w:p>
        </w:tc>
        <w:tc>
          <w:tcPr>
            <w:tcW w:type="dxa" w:w="46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Team capacity/comparison, transfer decisions, cross-team risks and escalations.</w:t>
            </w:r>
          </w:p>
        </w:tc>
        <w:tc>
          <w:tcPr>
            <w:tcW w:type="dxa" w:w="28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Comparable periods/samples; decision owner and evidence clear.</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7. Chairman view</w:t>
            </w:r>
          </w:p>
        </w:tc>
        <w:tc>
          <w:tcPr>
            <w:tcW w:type="dxa" w:w="46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Concise organization summary, material risks, reconciled royalty, attendance aggregate, recognition queue, data completeness.</w:t>
            </w:r>
          </w:p>
        </w:tc>
        <w:tc>
          <w:tcPr>
            <w:tcW w:type="dxa" w:w="28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Every top-line value opens to sources; exports audited.</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8. Admin, Super Admin, IT</w:t>
            </w:r>
          </w:p>
        </w:tc>
        <w:tc>
          <w:tcPr>
            <w:tcW w:type="dxa" w:w="46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Provisioning/corrections; access/config/audit; health/incidents/deployments.</w:t>
            </w:r>
          </w:p>
        </w:tc>
        <w:tc>
          <w:tcPr>
            <w:tcW w:type="dxa" w:w="28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Platform access separated from business approval; sensitive reads logged.</w:t>
            </w:r>
          </w:p>
        </w:tc>
      </w:tr>
      <w:tr>
        <w:tc>
          <w:tcPr>
            <w:tcW w:type="dxa" w:w="19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9. Reports and release</w:t>
            </w:r>
          </w:p>
        </w:tc>
        <w:tc>
          <w:tcPr>
            <w:tcW w:type="dxa" w:w="46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Configure reports/recognition only after policy; security/privacy review, staging and runbooks.</w:t>
            </w:r>
          </w:p>
        </w:tc>
        <w:tc>
          <w:tcPr>
            <w:tcW w:type="dxa" w:w="285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Numbers reconcile to source; recovery and permissions tested.</w:t>
            </w:r>
          </w:p>
        </w:tc>
      </w:tr>
    </w:tbl>
    <w:p>
      <w:pPr>
        <w:pStyle w:val="Heading2"/>
        <w:keepNext/>
        <w:spacing w:after="100" w:before="180"/>
      </w:pPr>
      <w:r>
        <w:t xml:space="preserve">Acceptance checks</w:t>
      </w:r>
    </w:p>
    <w:p>
      <w:pPr>
        <w:pStyle w:val="ListParagraph"/>
        <w:numPr>
          <w:ilvl w:val="0"/>
          <w:numId w:val="2"/>
        </w:numPr>
        <w:spacing w:after="60" w:line="245"/>
      </w:pPr>
      <w:r>
        <w:rPr>
          <w:rFonts w:ascii="Arial" w:cs="Arial" w:eastAsia="Arial" w:hAnsi="Arial"/>
          <w:sz w:val="19"/>
          <w:szCs w:val="19"/>
        </w:rPr>
        <w:t xml:space="preserve">Changing a browser role value never grants access to an unassigned workspace.</w:t>
      </w:r>
    </w:p>
    <w:p>
      <w:pPr>
        <w:pStyle w:val="ListParagraph"/>
        <w:numPr>
          <w:ilvl w:val="0"/>
          <w:numId w:val="2"/>
        </w:numPr>
        <w:spacing w:after="60" w:line="245"/>
      </w:pPr>
      <w:r>
        <w:rPr>
          <w:rFonts w:ascii="Arial" w:cs="Arial" w:eastAsia="Arial" w:hAnsi="Arial"/>
          <w:sz w:val="19"/>
          <w:szCs w:val="19"/>
        </w:rPr>
        <w:t xml:space="preserve">Activity does not change task state; invalid transitions are rejected by the API.</w:t>
      </w:r>
    </w:p>
    <w:p>
      <w:pPr>
        <w:pStyle w:val="ListParagraph"/>
        <w:numPr>
          <w:ilvl w:val="0"/>
          <w:numId w:val="2"/>
        </w:numPr>
        <w:spacing w:after="60" w:line="245"/>
      </w:pPr>
      <w:r>
        <w:rPr>
          <w:rFonts w:ascii="Arial" w:cs="Arial" w:eastAsia="Arial" w:hAnsi="Arial"/>
          <w:sz w:val="19"/>
          <w:szCs w:val="19"/>
        </w:rPr>
        <w:t xml:space="preserve">Required evidence gates submission and closure; submitter cannot accept own work.</w:t>
      </w:r>
    </w:p>
    <w:p>
      <w:pPr>
        <w:pStyle w:val="ListParagraph"/>
        <w:numPr>
          <w:ilvl w:val="0"/>
          <w:numId w:val="2"/>
        </w:numPr>
        <w:spacing w:after="60" w:line="245"/>
      </w:pPr>
      <w:r>
        <w:rPr>
          <w:rFonts w:ascii="Arial" w:cs="Arial" w:eastAsia="Arial" w:hAnsi="Arial"/>
          <w:sz w:val="19"/>
          <w:szCs w:val="19"/>
        </w:rPr>
        <w:t xml:space="preserve">An extension preserves original due date and both on-time views.</w:t>
      </w:r>
    </w:p>
    <w:p>
      <w:pPr>
        <w:pStyle w:val="ListParagraph"/>
        <w:numPr>
          <w:ilvl w:val="0"/>
          <w:numId w:val="2"/>
        </w:numPr>
        <w:spacing w:after="60" w:line="245"/>
      </w:pPr>
      <w:r>
        <w:rPr>
          <w:rFonts w:ascii="Arial" w:cs="Arial" w:eastAsia="Arial" w:hAnsi="Arial"/>
          <w:sz w:val="19"/>
          <w:szCs w:val="19"/>
        </w:rPr>
        <w:t xml:space="preserve">Reassignment preserves task ID and prior owner history.</w:t>
      </w:r>
    </w:p>
    <w:p>
      <w:pPr>
        <w:pStyle w:val="ListParagraph"/>
        <w:numPr>
          <w:ilvl w:val="0"/>
          <w:numId w:val="2"/>
        </w:numPr>
        <w:spacing w:after="60" w:line="245"/>
      </w:pPr>
      <w:r>
        <w:rPr>
          <w:rFonts w:ascii="Arial" w:cs="Arial" w:eastAsia="Arial" w:hAnsi="Arial"/>
          <w:sz w:val="19"/>
          <w:szCs w:val="19"/>
        </w:rPr>
        <w:t xml:space="preserve">On-time uses first valid submission; reviewer delay is separate.</w:t>
      </w:r>
    </w:p>
    <w:p>
      <w:pPr>
        <w:pStyle w:val="ListParagraph"/>
        <w:numPr>
          <w:ilvl w:val="0"/>
          <w:numId w:val="2"/>
        </w:numPr>
        <w:spacing w:after="60" w:line="245"/>
      </w:pPr>
      <w:r>
        <w:rPr>
          <w:rFonts w:ascii="Arial" w:cs="Arial" w:eastAsia="Arial" w:hAnsi="Arial"/>
          <w:sz w:val="19"/>
          <w:szCs w:val="19"/>
        </w:rPr>
        <w:t xml:space="preserve">N/A, target not configured, small samples, missing schedule and stale CRM display correctly.</w:t>
      </w:r>
    </w:p>
    <w:p>
      <w:pPr>
        <w:pStyle w:val="ListParagraph"/>
        <w:numPr>
          <w:ilvl w:val="0"/>
          <w:numId w:val="2"/>
        </w:numPr>
        <w:spacing w:after="60" w:line="245"/>
      </w:pPr>
      <w:r>
        <w:rPr>
          <w:rFonts w:ascii="Arial" w:cs="Arial" w:eastAsia="Arial" w:hAnsi="Arial"/>
          <w:sz w:val="19"/>
          <w:szCs w:val="19"/>
        </w:rPr>
        <w:t xml:space="preserve">Approved leave/external blockers remain labelled and only affect configured calculations.</w:t>
      </w:r>
    </w:p>
    <w:p>
      <w:pPr>
        <w:pStyle w:val="ListParagraph"/>
        <w:numPr>
          <w:ilvl w:val="0"/>
          <w:numId w:val="2"/>
        </w:numPr>
        <w:spacing w:after="60" w:line="245"/>
      </w:pPr>
      <w:r>
        <w:rPr>
          <w:rFonts w:ascii="Arial" w:cs="Arial" w:eastAsia="Arial" w:hAnsi="Arial"/>
          <w:sz w:val="19"/>
          <w:szCs w:val="19"/>
        </w:rPr>
        <w:t xml:space="preserve">Every flag states rule, source, next authority and clear condition.</w:t>
      </w:r>
    </w:p>
    <w:p>
      <w:pPr>
        <w:pStyle w:val="ListParagraph"/>
        <w:numPr>
          <w:ilvl w:val="0"/>
          <w:numId w:val="2"/>
        </w:numPr>
        <w:spacing w:after="60" w:line="245"/>
      </w:pPr>
      <w:r>
        <w:rPr>
          <w:rFonts w:ascii="Arial" w:cs="Arial" w:eastAsia="Arial" w:hAnsi="Arial"/>
          <w:sz w:val="19"/>
          <w:szCs w:val="19"/>
        </w:rPr>
        <w:t xml:space="preserve">Backend rejects unauthorized reads even if frontend calls endpoint directly.</w:t>
      </w:r>
    </w:p>
    <w:p>
      <w:pPr>
        <w:pStyle w:val="ListParagraph"/>
        <w:numPr>
          <w:ilvl w:val="0"/>
          <w:numId w:val="2"/>
        </w:numPr>
        <w:spacing w:after="60" w:line="245"/>
      </w:pPr>
      <w:r>
        <w:rPr>
          <w:rFonts w:ascii="Arial" w:cs="Arial" w:eastAsia="Arial" w:hAnsi="Arial"/>
          <w:sz w:val="19"/>
          <w:szCs w:val="19"/>
        </w:rPr>
        <w:t xml:space="preserve">No continuous location, keystroke or screen capture.</w:t>
      </w:r>
    </w:p>
    <w:p>
      <w:pPr>
        <w:pStyle w:val="ListParagraph"/>
        <w:numPr>
          <w:ilvl w:val="0"/>
          <w:numId w:val="2"/>
        </w:numPr>
        <w:spacing w:after="60" w:line="245"/>
      </w:pPr>
      <w:r>
        <w:rPr>
          <w:rFonts w:ascii="Arial" w:cs="Arial" w:eastAsia="Arial" w:hAnsi="Arial"/>
          <w:sz w:val="19"/>
          <w:szCs w:val="19"/>
        </w:rPr>
        <w:t xml:space="preserve">Decisions, exports and configuration changes are attributable in audit.</w:t>
      </w:r>
    </w:p>
    <w:p>
      <w:pPr>
        <w:pStyle w:val="Heading2"/>
        <w:keepNext/>
        <w:spacing w:after="100" w:before="180"/>
      </w:pPr>
      <w:r>
        <w:t xml:space="preserve">Additional acceptance checks</w:t>
      </w:r>
    </w:p>
    <w:p>
      <w:pPr>
        <w:pStyle w:val="ListParagraph"/>
        <w:numPr>
          <w:ilvl w:val="0"/>
          <w:numId w:val="2"/>
        </w:numPr>
        <w:spacing w:after="60" w:line="245"/>
      </w:pPr>
      <w:r>
        <w:rPr>
          <w:rFonts w:ascii="Arial" w:cs="Arial" w:eastAsia="Arial" w:hAnsi="Arial"/>
          <w:sz w:val="19"/>
          <w:szCs w:val="19"/>
        </w:rPr>
        <w:t xml:space="preserve">A user can receive, read and open a notification linked to its task/request; delivery failures and channel coverage are visible.</w:t>
      </w:r>
    </w:p>
    <w:p>
      <w:pPr>
        <w:pStyle w:val="ListParagraph"/>
        <w:numPr>
          <w:ilvl w:val="0"/>
          <w:numId w:val="2"/>
        </w:numPr>
        <w:spacing w:after="60" w:line="245"/>
      </w:pPr>
      <w:r>
        <w:rPr>
          <w:rFonts w:ascii="Arial" w:cs="Arial" w:eastAsia="Arial" w:hAnsi="Arial"/>
          <w:sz w:val="19"/>
          <w:szCs w:val="19"/>
        </w:rPr>
        <w:t xml:space="preserve">Messages stay linked to a permitted work item and never change task status by themselves.</w:t>
      </w:r>
    </w:p>
    <w:p>
      <w:pPr>
        <w:pStyle w:val="ListParagraph"/>
        <w:numPr>
          <w:ilvl w:val="0"/>
          <w:numId w:val="2"/>
        </w:numPr>
        <w:spacing w:after="60" w:line="245"/>
      </w:pPr>
      <w:r>
        <w:rPr>
          <w:rFonts w:ascii="Arial" w:cs="Arial" w:eastAsia="Arial" w:hAnsi="Arial"/>
          <w:sz w:val="19"/>
          <w:szCs w:val="19"/>
        </w:rPr>
        <w:t xml:space="preserve">A user can change their password through the secure flow and revoke their own active sessions; secrets never appear in API or audit logs.</w:t>
      </w:r>
    </w:p>
    <w:p>
      <w:pPr>
        <w:pStyle w:val="ListParagraph"/>
        <w:numPr>
          <w:ilvl w:val="0"/>
          <w:numId w:val="2"/>
        </w:numPr>
        <w:spacing w:after="60" w:line="245"/>
      </w:pPr>
      <w:r>
        <w:rPr>
          <w:rFonts w:ascii="Arial" w:cs="Arial" w:eastAsia="Arial" w:hAnsi="Arial"/>
          <w:sz w:val="19"/>
          <w:szCs w:val="19"/>
        </w:rPr>
        <w:t xml:space="preserve">Report filters narrow within permission scope; unauthorized employee/manager/branch values are not exposed. Dashboard, PDF, Excel, authorised email and appraisal outputs preserve data-as-of, definition versions and N/A/sample labels.</w:t>
      </w:r>
    </w:p>
    <w:p>
      <w:pPr>
        <w:pStyle w:val="ListParagraph"/>
        <w:numPr>
          <w:ilvl w:val="0"/>
          <w:numId w:val="2"/>
        </w:numPr>
        <w:spacing w:after="60" w:line="245"/>
      </w:pPr>
      <w:r>
        <w:rPr>
          <w:rFonts w:ascii="Arial" w:cs="Arial" w:eastAsia="Arial" w:hAnsi="Arial"/>
          <w:sz w:val="19"/>
          <w:szCs w:val="19"/>
        </w:rPr>
        <w:t xml:space="preserve">Long reports are queued, idempotent, permission-checked at download and expire under configured retention.</w:t>
      </w:r>
    </w:p>
    <w:p>
      <w:pPr>
        <w:pStyle w:val="ListParagraph"/>
        <w:numPr>
          <w:ilvl w:val="0"/>
          <w:numId w:val="2"/>
        </w:numPr>
        <w:spacing w:after="60" w:line="245"/>
      </w:pPr>
      <w:r>
        <w:rPr>
          <w:rFonts w:ascii="Arial" w:cs="Arial" w:eastAsia="Arial" w:hAnsi="Arial"/>
          <w:sz w:val="19"/>
          <w:szCs w:val="19"/>
        </w:rPr>
        <w:t xml:space="preserve">Trend comparisons use comparable time cutoffs, calendars, definitions and scope; incomplete or non-comparable periods are labelled.</w:t>
      </w:r>
    </w:p>
    <w:p>
      <w:pPr>
        <w:pStyle w:val="ListParagraph"/>
        <w:numPr>
          <w:ilvl w:val="0"/>
          <w:numId w:val="2"/>
        </w:numPr>
        <w:spacing w:after="60" w:line="245"/>
      </w:pPr>
      <w:r>
        <w:rPr>
          <w:rFonts w:ascii="Arial" w:cs="Arial" w:eastAsia="Arial" w:hAnsi="Arial"/>
          <w:sz w:val="19"/>
          <w:szCs w:val="19"/>
        </w:rPr>
        <w:t xml:space="preserve">All ten availability statuses display as configured; Offline or Absent is not inferred as absence from lack of keyboard activity.</w:t>
      </w:r>
    </w:p>
    <w:p>
      <w:pPr>
        <w:pStyle w:val="ListParagraph"/>
        <w:numPr>
          <w:ilvl w:val="0"/>
          <w:numId w:val="2"/>
        </w:numPr>
        <w:spacing w:after="60" w:line="245"/>
      </w:pPr>
      <w:r>
        <w:rPr>
          <w:rFonts w:ascii="Arial" w:cs="Arial" w:eastAsia="Arial" w:hAnsi="Arial"/>
          <w:sz w:val="19"/>
          <w:szCs w:val="19"/>
        </w:rPr>
        <w:t xml:space="preserve">Incomplete attendance punches never produce fabricated working hours; break and correction records remain visible.</w:t>
      </w:r>
    </w:p>
    <w:p>
      <w:pPr>
        <w:pStyle w:val="ListParagraph"/>
        <w:numPr>
          <w:ilvl w:val="0"/>
          <w:numId w:val="2"/>
        </w:numPr>
        <w:spacing w:after="60" w:line="245"/>
      </w:pPr>
      <w:r>
        <w:rPr>
          <w:rFonts w:ascii="Arial" w:cs="Arial" w:eastAsia="Arial" w:hAnsi="Arial"/>
          <w:sz w:val="19"/>
          <w:szCs w:val="19"/>
        </w:rPr>
        <w:t xml:space="preserve">Every task has a business entity reference; cancellation requires configured authority, reason and audit history and is not silently counted as closed work.</w:t>
      </w:r>
    </w:p>
    <w:p>
      <w:pPr>
        <w:pStyle w:val="ListParagraph"/>
        <w:numPr>
          <w:ilvl w:val="0"/>
          <w:numId w:val="2"/>
        </w:numPr>
        <w:spacing w:after="60" w:line="245"/>
      </w:pPr>
      <w:r>
        <w:rPr>
          <w:rFonts w:ascii="Arial" w:cs="Arial" w:eastAsia="Arial" w:hAnsi="Arial"/>
          <w:sz w:val="19"/>
          <w:szCs w:val="19"/>
        </w:rPr>
        <w:t xml:space="preserve">Invalid login messages do not disclose whether an employee ID exists; role switch refreshes server permissions and rejects forged roles.</w:t>
      </w:r>
    </w:p>
    <w:p>
      <w:pPr>
        <w:pStyle w:val="ListParagraph"/>
        <w:numPr>
          <w:ilvl w:val="0"/>
          <w:numId w:val="2"/>
        </w:numPr>
        <w:spacing w:after="60" w:line="245"/>
      </w:pPr>
      <w:r>
        <w:rPr>
          <w:rFonts w:ascii="Arial" w:cs="Arial" w:eastAsia="Arial" w:hAnsi="Arial"/>
          <w:sz w:val="19"/>
          <w:szCs w:val="19"/>
        </w:rPr>
        <w:t xml:space="preserve">Membership, deal/royalty and creative workflows show stages, stage owner/age, next action, evidence and final/withdrawn outcomes.</w:t>
      </w:r>
    </w:p>
    <w:p>
      <w:pPr>
        <w:pStyle w:val="ListParagraph"/>
        <w:numPr>
          <w:ilvl w:val="0"/>
          <w:numId w:val="2"/>
        </w:numPr>
        <w:spacing w:after="60" w:line="245"/>
      </w:pPr>
      <w:r>
        <w:rPr>
          <w:rFonts w:ascii="Arial" w:cs="Arial" w:eastAsia="Arial" w:hAnsi="Arial"/>
          <w:sz w:val="19"/>
          <w:szCs w:val="19"/>
        </w:rPr>
        <w:t xml:space="preserve">Team messages, feedback and evaluations follow role scope, mandate, source links and employee correction/context process.</w:t>
      </w:r>
    </w:p>
    <w:p>
      <w:pPr>
        <w:pStyle w:val="ListParagraph"/>
        <w:numPr>
          <w:ilvl w:val="0"/>
          <w:numId w:val="2"/>
        </w:numPr>
        <w:spacing w:after="60" w:line="245"/>
      </w:pPr>
      <w:r>
        <w:rPr>
          <w:rFonts w:ascii="Arial" w:cs="Arial" w:eastAsia="Arial" w:hAnsi="Arial"/>
          <w:sz w:val="19"/>
          <w:szCs w:val="19"/>
        </w:rPr>
        <w:t xml:space="preserve">Metric snapshots/cache obey permission scope and definition-version invalidation; CRM sync, report queue, notification delivery and backup/recovery status are monitored.</w:t>
      </w:r>
    </w:p>
    <w:p>
      <w:pPr>
        <w:pStyle w:val="ListParagraph"/>
        <w:numPr>
          <w:ilvl w:val="0"/>
          <w:numId w:val="2"/>
        </w:numPr>
        <w:spacing w:after="60" w:line="245"/>
      </w:pPr>
      <w:r>
        <w:rPr>
          <w:rFonts w:ascii="Arial" w:cs="Arial" w:eastAsia="Arial" w:hAnsi="Arial"/>
          <w:sz w:val="19"/>
          <w:szCs w:val="19"/>
        </w:rPr>
        <w:t xml:space="preserve">Uploads are scanned before access; retention, HR and location processing receive privacy/legal review before production.</w:t>
      </w:r>
    </w:p>
    <w:p>
      <w:pPr>
        <w:pStyle w:val="ListParagraph"/>
        <w:numPr>
          <w:ilvl w:val="0"/>
          <w:numId w:val="2"/>
        </w:numPr>
        <w:spacing w:after="60" w:line="245"/>
      </w:pPr>
      <w:r>
        <w:rPr>
          <w:rFonts w:ascii="Arial" w:cs="Arial" w:eastAsia="Arial" w:hAnsi="Arial"/>
          <w:sz w:val="19"/>
          <w:szCs w:val="19"/>
        </w:rPr>
        <w:t xml:space="preserve">Dashboard keyboard/screen-reader use, contrast, mobile layout and loading/empty/error/denied/partial states are tested.</w:t>
      </w:r>
    </w:p>
    <w:p>
      <w:pPr>
        <w:pStyle w:val="Heading1"/>
        <w:keepNext/>
        <w:spacing w:after="100" w:before="280"/>
      </w:pPr>
      <w:r>
        <w:t xml:space="preserve">Appendix A. Reference reconciliation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500"/>
        <w:gridCol w:w="6860"/>
      </w:tblGrid>
      <w:tr>
        <w:trPr>
          <w:tblHeader/>
        </w:trPr>
        <w:tc>
          <w:tcPr>
            <w:tcW w:type="dxa" w:w="25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Reference</w:t>
            </w:r>
          </w:p>
        </w:tc>
        <w:tc>
          <w:tcPr>
            <w:tcW w:type="dxa" w:w="686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Treatment in this draft</w:t>
            </w:r>
          </w:p>
        </w:tc>
      </w:tr>
      <w:tr>
        <w:tc>
          <w:tcPr>
            <w:tcW w:type="dxa" w:w="25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Claude tracking specification</w:t>
            </w:r>
          </w:p>
        </w:tc>
        <w:tc>
          <w:tcPr>
            <w:tcW w:type="dxa" w:w="68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Used for shared metric rules, evidence gates, ten-workspace model, role signals and privacy limits.</w:t>
            </w:r>
          </w:p>
        </w:tc>
      </w:tr>
      <w:tr>
        <w:tc>
          <w:tcPr>
            <w:tcW w:type="dxa" w:w="25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Responsibilities.docx and role matrix</w:t>
            </w:r>
          </w:p>
        </w:tc>
        <w:tc>
          <w:tcPr>
            <w:tcW w:type="dxa" w:w="68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Used for role duties, not copied as permission grants. Managerial reporting relationships are not identical to configured authority.</w:t>
            </w:r>
          </w:p>
        </w:tc>
      </w:tr>
      <w:tr>
        <w:tc>
          <w:tcPr>
            <w:tcW w:type="dxa" w:w="25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Gemini tracking draft</w:t>
            </w:r>
          </w:p>
        </w:tc>
        <w:tc>
          <w:tcPr>
            <w:tcW w:type="dxa" w:w="68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Candidate signals only. Fixed GPS tolerance, continuous/system surveillance, fixed targets, report times, dual approvals and cryptographic claims are not treated as approved without policy/technical review.</w:t>
            </w:r>
          </w:p>
        </w:tc>
      </w:tr>
      <w:tr>
        <w:tc>
          <w:tcPr>
            <w:tcW w:type="dxa" w:w="25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Ten roles vs eleven screens</w:t>
            </w:r>
          </w:p>
        </w:tc>
        <w:tc>
          <w:tcPr>
            <w:tcW w:type="dxa" w:w="68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The design brief says ten workspaces. Design and social media are views under Creatives Communication Associate.</w:t>
            </w:r>
          </w:p>
        </w:tc>
      </w:tr>
      <w:tr>
        <w:tc>
          <w:tcPr>
            <w:tcW w:type="dxa" w:w="25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Royalty</w:t>
            </w:r>
          </w:p>
        </w:tc>
        <w:tc>
          <w:tcPr>
            <w:tcW w:type="dxa" w:w="68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7.5% is in the stated design brief; CRM supplies party shares. Example 30/70 needs confirmation. Reconciliation controls verified collection.</w:t>
            </w:r>
          </w:p>
        </w:tc>
      </w:tr>
      <w:tr>
        <w:tc>
          <w:tcPr>
            <w:tcW w:type="dxa" w:w="25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Existing code</w:t>
            </w:r>
          </w:p>
        </w:tc>
        <w:tc>
          <w:tcPr>
            <w:tcW w:type="dxa" w:w="68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This is a proposed design. Endpoint examples and panels are not claims that they exist today.</w:t>
            </w:r>
          </w:p>
        </w:tc>
      </w:tr>
    </w:tbl>
    <w:p>
      <w:pPr>
        <w:pStyle w:val="Heading1"/>
        <w:keepNext/>
        <w:spacing w:after="100" w:before="280"/>
      </w:pPr>
      <w:r>
        <w:t xml:space="preserve">Appendix B. Plain-language terms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CellMar>
          <w:top w:type="dxa" w:w="70"/>
          <w:left w:type="dxa" w:w="100"/>
          <w:bottom w:type="dxa" w:w="70"/>
          <w:right w:type="dxa" w:w="100"/>
        </w:tblCellMar>
      </w:tblPr>
      <w:tblGrid>
        <w:gridCol w:w="2500"/>
        <w:gridCol w:w="6860"/>
      </w:tblGrid>
      <w:tr>
        <w:trPr>
          <w:tblHeader/>
        </w:trPr>
        <w:tc>
          <w:tcPr>
            <w:tcW w:type="dxa" w:w="250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Term</w:t>
            </w:r>
          </w:p>
        </w:tc>
        <w:tc>
          <w:tcPr>
            <w:tcW w:type="dxa" w:w="6860"/>
            <w:tcBorders>
              <w:top w:val="single" w:color="C9D2DC" w:sz="4"/>
              <w:left w:val="single" w:color="C9D2DC" w:sz="4"/>
              <w:bottom w:val="single" w:color="C9D2DC" w:sz="4"/>
              <w:right w:val="single" w:color="C9D2DC" w:sz="4"/>
            </w:tcBorders>
            <w:shd w:fill="17365D" w:val="clear"/>
            <w:vAlign w:val="center"/>
          </w:tcPr>
          <w:p>
            <w:pPr>
              <w:spacing w:after="30" w:before="30" w:line="220"/>
            </w:pPr>
            <w:r>
              <w:rPr>
                <w:rFonts w:ascii="Arial" w:cs="Arial" w:eastAsia="Arial" w:hAnsi="Arial"/>
                <w:b/>
                <w:bCs/>
                <w:color w:val="FFFFFF"/>
                <w:sz w:val="18"/>
                <w:szCs w:val="18"/>
              </w:rPr>
              <w:t xml:space="preserve">Meaning</w:t>
            </w:r>
          </w:p>
        </w:tc>
      </w:tr>
      <w:tr>
        <w:tc>
          <w:tcPr>
            <w:tcW w:type="dxa" w:w="25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Denominator</w:t>
            </w:r>
          </w:p>
        </w:tc>
        <w:tc>
          <w:tcPr>
            <w:tcW w:type="dxa" w:w="68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The eligible total in a calculation. If it is zero, percentage is N/A.</w:t>
            </w:r>
          </w:p>
        </w:tc>
      </w:tr>
      <w:tr>
        <w:tc>
          <w:tcPr>
            <w:tcW w:type="dxa" w:w="25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Evidence</w:t>
            </w:r>
          </w:p>
        </w:tc>
        <w:tc>
          <w:tcPr>
            <w:tcW w:type="dxa" w:w="68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A file, reference or system record that supports a work item or decision.</w:t>
            </w:r>
          </w:p>
        </w:tc>
      </w:tr>
      <w:tr>
        <w:tc>
          <w:tcPr>
            <w:tcW w:type="dxa" w:w="25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First submission</w:t>
            </w:r>
          </w:p>
        </w:tc>
        <w:tc>
          <w:tcPr>
            <w:tcW w:type="dxa" w:w="68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First valid submission with required evidence for review.</w:t>
            </w:r>
          </w:p>
        </w:tc>
      </w:tr>
      <w:tr>
        <w:tc>
          <w:tcPr>
            <w:tcW w:type="dxa" w:w="25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Mandate</w:t>
            </w:r>
          </w:p>
        </w:tc>
        <w:tc>
          <w:tcPr>
            <w:tcW w:type="dxa" w:w="68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Permission to make a specific decision for a defined scope. A title alone is not enough.</w:t>
            </w:r>
          </w:p>
        </w:tc>
      </w:tr>
      <w:tr>
        <w:tc>
          <w:tcPr>
            <w:tcW w:type="dxa" w:w="25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Original due date</w:t>
            </w:r>
          </w:p>
        </w:tc>
        <w:tc>
          <w:tcPr>
            <w:tcW w:type="dxa" w:w="68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First agreed deadline, preserved after an approved extension.</w:t>
            </w:r>
          </w:p>
        </w:tc>
      </w:tr>
      <w:tr>
        <w:tc>
          <w:tcPr>
            <w:tcW w:type="dxa" w:w="25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Current approved due date</w:t>
            </w:r>
          </w:p>
        </w:tc>
        <w:tc>
          <w:tcPr>
            <w:tcW w:type="dxa" w:w="68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Latest authorised deadline.</w:t>
            </w:r>
          </w:p>
        </w:tc>
      </w:tr>
      <w:tr>
        <w:tc>
          <w:tcPr>
            <w:tcW w:type="dxa" w:w="25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Source freshness</w:t>
            </w:r>
          </w:p>
        </w:tc>
        <w:tc>
          <w:tcPr>
            <w:tcW w:type="dxa" w:w="68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When an external/system record was last updated or verified.</w:t>
            </w:r>
          </w:p>
        </w:tc>
      </w:tr>
      <w:tr>
        <w:tc>
          <w:tcPr>
            <w:tcW w:type="dxa" w:w="250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Target not configured</w:t>
            </w:r>
          </w:p>
        </w:tc>
        <w:tc>
          <w:tcPr>
            <w:tcW w:type="dxa" w:w="6860"/>
            <w:tcBorders>
              <w:top w:val="single" w:color="C9D2DC" w:sz="4"/>
              <w:left w:val="single" w:color="C9D2DC" w:sz="4"/>
              <w:bottom w:val="single" w:color="C9D2DC" w:sz="4"/>
              <w:right w:val="single" w:color="C9D2DC" w:sz="4"/>
            </w:tcBorders>
            <w:vAlign w:val="center"/>
          </w:tcPr>
          <w:p>
            <w:pPr>
              <w:spacing w:after="30" w:before="30" w:line="220"/>
            </w:pPr>
            <w:r>
              <w:rPr>
                <w:rFonts w:ascii="Arial" w:cs="Arial" w:eastAsia="Arial" w:hAnsi="Arial"/>
                <w:b w:val="false"/>
                <w:bCs w:val="false"/>
                <w:color w:val="202833"/>
                <w:sz w:val="17"/>
                <w:szCs w:val="17"/>
              </w:rPr>
              <w:t xml:space="preserve">No approved target exists; system must not imply zero is target.</w:t>
            </w:r>
          </w:p>
        </w:tc>
      </w:tr>
    </w:tbl>
    <w:p>
      <w:pPr>
        <w:spacing w:after="90" w:line="270"/>
      </w:pPr>
      <w:r>
        <w:rPr>
          <w:rFonts w:ascii="Arial" w:cs="Arial" w:eastAsia="Arial" w:hAnsi="Arial"/>
          <w:sz w:val="20"/>
          <w:szCs w:val="20"/>
        </w:rPr>
        <w:t xml:space="preserve">End of working draft. Resolve Section 18 decisions before treating illustrative thresholds, endpoints or fields as production commitments.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3"/>
        <w:sz w:val="15"/>
        <w:szCs w:val="15"/>
      </w:rPr>
      <w:t xml:space="preserve">Working draft | 13 October 2026 | Page </w:t>
    </w:r>
    <w:r>
      <w:rPr>
        <w:rFonts w:ascii="Arial" w:cs="Arial" w:eastAsia="Arial" w:hAnsi="Arial"/>
        <w:color w:val="5B65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573"/>
        <w:sz w:val="15"/>
        <w:szCs w:val="15"/>
      </w:rPr>
      <w:t xml:space="preserve">IOTS | Tracking design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833"/>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80"/>
      <w:jc w:val="center"/>
    </w:pPr>
    <w:rPr>
      <w:rFonts w:ascii="Arial" w:cs="Arial" w:eastAsia="Arial" w:hAnsi="Arial"/>
      <w:b/>
      <w:bCs/>
      <w:color w:val="17365D"/>
      <w:sz w:val="36"/>
      <w:szCs w:val="36"/>
    </w:rPr>
  </w:style>
  <w:style w:type="paragraph" w:styleId="Heading1">
    <w:name w:val="Heading 1"/>
    <w:basedOn w:val="Normal"/>
    <w:next w:val="Normal"/>
    <w:qFormat/>
    <w:pPr>
      <w:spacing w:after="110" w:before="280"/>
      <w:outlineLvl w:val="0"/>
    </w:pPr>
    <w:rPr>
      <w:rFonts w:ascii="Arial" w:cs="Arial" w:eastAsia="Arial" w:hAnsi="Arial"/>
      <w:b/>
      <w:bCs/>
      <w:color w:val="17365D"/>
      <w:sz w:val="29"/>
      <w:szCs w:val="29"/>
    </w:rPr>
  </w:style>
  <w:style w:type="paragraph" w:styleId="Heading2">
    <w:name w:val="Heading 2"/>
    <w:basedOn w:val="Normal"/>
    <w:next w:val="Normal"/>
    <w:qFormat/>
    <w:pPr>
      <w:spacing w:after="90" w:before="190"/>
      <w:outlineLvl w:val="1"/>
    </w:pPr>
    <w:rPr>
      <w:rFonts w:ascii="Arial" w:cs="Arial" w:eastAsia="Arial" w:hAnsi="Arial"/>
      <w:b/>
      <w:bCs/>
      <w:color w:val="24527A"/>
      <w:sz w:val="24"/>
      <w:szCs w:val="24"/>
    </w:rPr>
  </w:style>
  <w:style w:type="paragraph" w:styleId="Heading3">
    <w:name w:val="Heading 3"/>
    <w:basedOn w:val="Normal"/>
    <w:next w:val="Normal"/>
    <w:qFormat/>
    <w:pPr>
      <w:spacing w:after="70" w:before="150"/>
      <w:outlineLvl w:val="2"/>
    </w:pPr>
    <w:rPr>
      <w:rFonts w:ascii="Arial" w:cs="Arial" w:eastAsia="Arial" w:hAnsi="Arial"/>
      <w:b/>
      <w:bCs/>
      <w:color w:val="35566F"/>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IOTS Employee Tracking, Metrics and Evidence Design</dc:title>
  <dc:subject>Role dashboards, metric definitions, evidence, API and operational design</dc:subject>
  <dc:creator>OpenAI</dc:creator>
  <dc:description>Refactored working draft covering diagram gaps and enterprise implementation controls.</dc:description>
  <cp:lastModifiedBy>Un-named</cp:lastModifiedBy>
  <cp:revision>1</cp:revision>
  <dcterms:created xsi:type="dcterms:W3CDTF">2026-10-13T07:13:48.535Z</dcterms:created>
  <dcterms:modified xsi:type="dcterms:W3CDTF">2026-10-13T07:13:48.535Z</dcterms:modified>
</cp:coreProperties>
</file>

<file path=docProps/custom.xml><?xml version="1.0" encoding="utf-8"?>
<Properties xmlns="http://schemas.openxmlformats.org/officeDocument/2006/custom-properties" xmlns:vt="http://schemas.openxmlformats.org/officeDocument/2006/docPropsVTypes"/>
</file>