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i w:val="false"/>
          <w:iCs w:val="false"/>
          <w:color w:val="19344A"/>
          <w:sz w:val="36"/>
          <w:szCs w:val="36"/>
        </w:rPr>
        <w:t xml:space="preserve">CIRIL INTERNAL OPERATIONS TRACKING SYSTEM (IOTS)</w:t>
      </w:r>
    </w:p>
    <w:p>
      <w:pPr>
        <w:spacing w:after="200" w:before="60"/>
        <w:jc w:val="center"/>
      </w:pPr>
      <w:r>
        <w:rPr>
          <w:rFonts w:ascii="Arial" w:cs="Arial" w:eastAsia="Arial" w:hAnsi="Arial"/>
          <w:b/>
          <w:bCs/>
          <w:i w:val="false"/>
          <w:iCs w:val="false"/>
          <w:color w:val="C09860"/>
          <w:sz w:val="24"/>
          <w:szCs w:val="24"/>
        </w:rPr>
        <w:t xml:space="preserve">Master Engineering Specification: Operational Tracking, Performance Metrics &amp; Multi-Role Evidence Architecture</w:t>
      </w:r>
    </w:p>
    <w:p>
      <w:pPr>
        <w:spacing w:after="300" w:before="40"/>
        <w:jc w:val="center"/>
      </w:pPr>
      <w:r>
        <w:rPr>
          <w:rFonts w:ascii="Arial" w:cs="Arial" w:eastAsia="Arial" w:hAnsi="Arial"/>
          <w:b w:val="false"/>
          <w:bCs w:val="false"/>
          <w:i/>
          <w:iCs/>
          <w:color w:val="71757A"/>
          <w:sz w:val="18"/>
          <w:szCs w:val="18"/>
        </w:rPr>
        <w:t xml:space="preserve">System Version: 2.0 Enterprise Release | Target System: iots-app (Vite 8 React + Express 5 Node.js API Gateway)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Document Classification</w:t>
            </w:r>
          </w:p>
        </w:tc>
        <w:tc>
          <w:tcPr>
            <w:tcW w:type="dxa" w:w="234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Architectural Scope</w:t>
            </w:r>
          </w:p>
        </w:tc>
        <w:tc>
          <w:tcPr>
            <w:tcW w:type="dxa" w:w="234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Roles Covered</w:t>
            </w:r>
          </w:p>
        </w:tc>
        <w:tc>
          <w:tcPr>
            <w:tcW w:type="dxa" w:w="234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Primary Reference</w:t>
            </w:r>
          </w:p>
        </w:tc>
      </w:tr>
      <w:tr>
        <w:tc>
          <w:tcPr>
            <w:tcW w:type="dxa" w:w="234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Internal Engineering Spec</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Layers 1, 2, and 3 Telemetry</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All 11 Organizational Roles</w:t>
            </w:r>
          </w:p>
        </w:tc>
        <w:tc>
          <w:tcPr>
            <w:tcW w:type="dxa" w:w="234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iots-system.drawio</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1. Executive Overview &amp; The 3-Layer Tracking Architecture</w:t>
      </w:r>
    </w:p>
    <w:p>
      <w:pPr>
        <w:spacing w:after="100" w:before="100"/>
        <w:jc w:val="left"/>
      </w:pPr>
      <w:r>
        <w:rPr>
          <w:rFonts w:ascii="Arial" w:cs="Arial" w:eastAsia="Arial" w:hAnsi="Arial"/>
          <w:b w:val="false"/>
          <w:bCs w:val="false"/>
          <w:i w:val="false"/>
          <w:iCs w:val="false"/>
          <w:color w:val="202830"/>
          <w:sz w:val="22"/>
          <w:szCs w:val="22"/>
        </w:rPr>
        <w:t xml:space="preserve">Operational tracking within the Commercial Real Estate Institutional Alliance (CIRIL) is built on an uncompromising principle: Complete Transparency, Absolute Accountability, and Cryptographic Evidence. Large commercial property transactions, inter-city tenant handshakes, and brokerage collections require every team member to operate with military precision.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360"/>
      </w:tblGrid>
      <w:tr>
        <w:tc>
          <w:tcPr>
            <w:tcW w:type="dxa" w:w="9360"/>
            <w:tcBorders>
              <w:top w:val="single" w:color="C09860" w:sz="2"/>
              <w:left w:val="single" w:color="C09860" w:sz="12"/>
              <w:bottom w:val="single" w:color="C09860" w:sz="2"/>
              <w:right w:val="single" w:color="C09860" w:sz="2"/>
            </w:tcBorders>
            <w:shd w:fill="FDFBF7" w:val="clear"/>
          </w:tcPr>
          <w:p>
            <w:pPr>
              <w:spacing w:after="60" w:before="60"/>
            </w:pPr>
            <w:r>
              <w:rPr>
                <w:rFonts w:ascii="Arial" w:cs="Arial" w:eastAsia="Arial" w:hAnsi="Arial"/>
                <w:b/>
                <w:bCs/>
                <w:color w:val="19344A"/>
                <w:sz w:val="22"/>
                <w:szCs w:val="22"/>
              </w:rPr>
              <w:t xml:space="preserve">Architectural Core Philosophy: Layman Flight Control Center Analogy</w:t>
            </w:r>
          </w:p>
          <w:p>
            <w:pPr>
              <w:spacing w:after="60" w:before="40"/>
            </w:pPr>
            <w:r>
              <w:rPr>
                <w:rFonts w:ascii="Arial" w:cs="Arial" w:eastAsia="Arial" w:hAnsi="Arial"/>
                <w:color w:val="4A4943"/>
                <w:sz w:val="20"/>
                <w:szCs w:val="20"/>
              </w:rPr>
              <w:t xml:space="preserve">Think of an international airport flight operations center. The Airport Chairman needs a 30-second macro radar showing all flight sectors, delays, and runway safety without baggage-handling details. The General Manager needs detailed operational surveillance over fuel, maintenance, air traffic control, and terminal throughput. Meanwhile, the pilots, ground crew, and mechanics require precision workbenches where every turn of a wrench, inspection report, and pre-flight checklist is logged with immutable proof. IOTS implements this exact paradigm.</w:t>
            </w:r>
          </w:p>
        </w:tc>
      </w:tr>
    </w:tbl>
    <w:p>
      <w:pPr>
        <w:spacing w:after="60" w:before="140"/>
        <w:jc w:val="left"/>
      </w:pPr>
      <w:r>
        <w:rPr>
          <w:rFonts w:ascii="Arial" w:cs="Arial" w:eastAsia="Arial" w:hAnsi="Arial"/>
          <w:b w:val="false"/>
          <w:bCs w:val="false"/>
          <w:i w:val="false"/>
          <w:iCs w:val="false"/>
          <w:color w:val="202830"/>
          <w:sz w:val="22"/>
          <w:szCs w:val="22"/>
        </w:rPr>
        <w:t xml:space="preserve">The entire tracking system operates across three synchronized layers defined in iots-system.drawio:</w:t>
      </w:r>
    </w:p>
    <w:p>
      <w:pPr>
        <w:pStyle w:val="ListParagraph"/>
        <w:numPr>
          <w:ilvl w:val="0"/>
          <w:numId w:val="2"/>
        </w:numPr>
        <w:spacing w:after="40" w:before="40"/>
      </w:pPr>
      <w:r>
        <w:rPr>
          <w:rFonts w:ascii="Arial" w:cs="Arial" w:eastAsia="Arial" w:hAnsi="Arial"/>
          <w:color w:val="202830"/>
          <w:sz w:val="22"/>
          <w:szCs w:val="22"/>
        </w:rPr>
        <w:t xml:space="preserve">Layer 1 (Security, Geofencing &amp; Authentication): Hardware GPS perimeter checks, IP address logging, and cryptographically verified employee credentials without public registration. Transparently tags sessions as ONSITE (within 350m of Hyderabad HQ) or REMOTE without disrupting legitimate off-site work.</w:t>
      </w:r>
    </w:p>
    <w:p>
      <w:pPr>
        <w:pStyle w:val="ListParagraph"/>
        <w:numPr>
          <w:ilvl w:val="0"/>
          <w:numId w:val="2"/>
        </w:numPr>
        <w:spacing w:after="40" w:before="40"/>
      </w:pPr>
      <w:r>
        <w:rPr>
          <w:rFonts w:ascii="Arial" w:cs="Arial" w:eastAsia="Arial" w:hAnsi="Arial"/>
          <w:color w:val="202830"/>
          <w:sz w:val="22"/>
          <w:szCs w:val="22"/>
        </w:rPr>
        <w:t xml:space="preserve">Layer 2 (Management, Operations &amp; Execution): Daily work allocation, task lifecycle state transitions, time tracking, live team availability rosters, and the multi-role Evidence Collection Engine. Enforces the golden rule: Work Activity ≠ Task State.</w:t>
      </w:r>
    </w:p>
    <w:p>
      <w:pPr>
        <w:pStyle w:val="ListParagraph"/>
        <w:numPr>
          <w:ilvl w:val="0"/>
          <w:numId w:val="2"/>
        </w:numPr>
        <w:spacing w:after="40" w:before="40"/>
      </w:pPr>
      <w:r>
        <w:rPr>
          <w:rFonts w:ascii="Arial" w:cs="Arial" w:eastAsia="Arial" w:hAnsi="Arial"/>
          <w:color w:val="202830"/>
          <w:sz w:val="22"/>
          <w:szCs w:val="22"/>
        </w:rPr>
        <w:t xml:space="preserve">Layer 3 (Intelligence, Analytics &amp; Reporting): Role-scoped analytics digests, SLA calculation engines, exception/risk radars, commercial 7.5% royalty calculations, and objective employee recognition algorithms (Star Performer of the Month).</w:t>
      </w:r>
    </w:p>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2. Core Engineering Invariants &amp; Metric Engine Rules</w:t>
      </w:r>
    </w:p>
    <w:p>
      <w:pPr>
        <w:spacing w:after="100" w:before="80"/>
        <w:jc w:val="left"/>
      </w:pPr>
      <w:r>
        <w:rPr>
          <w:rFonts w:ascii="Arial" w:cs="Arial" w:eastAsia="Arial" w:hAnsi="Arial"/>
          <w:b w:val="false"/>
          <w:bCs w:val="false"/>
          <w:i w:val="false"/>
          <w:iCs w:val="false"/>
          <w:color w:val="202830"/>
          <w:sz w:val="22"/>
          <w:szCs w:val="22"/>
        </w:rPr>
        <w:t xml:space="preserve">To prevent metric corruption, gaming, and artificial workload inflation, the tracking engine enforces five non-negotiable architectural invariants: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Architectural Invariant</w:t>
            </w:r>
          </w:p>
        </w:tc>
        <w:tc>
          <w:tcPr>
            <w:tcW w:type="dxa" w:w="31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System-Level Rule</w:t>
            </w:r>
          </w:p>
        </w:tc>
        <w:tc>
          <w:tcPr>
            <w:tcW w:type="dxa" w:w="4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Engineering Enforcement &amp; Fail-Safe</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Invariant 1: Work Activity ≠ Task State</w:t>
            </w:r>
          </w:p>
        </w:tc>
        <w:tc>
          <w:tcPr>
            <w:tcW w:type="dxa" w:w="31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Adding notes, effort hours, or uploading attachments are historical activity entries. They NEVER mutate the task status directly.</w:t>
            </w:r>
          </w:p>
        </w:tc>
        <w:tc>
          <w:tcPr>
            <w:tcW w:type="dxa" w:w="4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Task states (ASSIGNED → IN_PROGRESS → WAITING_FOR_REVIEW → UNDER_REVIEW → CLOSED) can only transition via explicit lifecycle state machine mutations authorized by the assigned actor or manager.</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Invariant 2: Stable Task Identity</w:t>
            </w:r>
          </w:p>
        </w:tc>
        <w:tc>
          <w:tcPr>
            <w:tcW w:type="dxa" w:w="31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Reassigning or transferring a task never creates a duplicate task entity or resets historical duration.</w:t>
            </w:r>
          </w:p>
        </w:tc>
        <w:tc>
          <w:tcPr>
            <w:tcW w:type="dxa" w:w="4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The task maintains its unique taskId throughout its entire lifecycle. A ReassignmentRecord is appended preserving original dueDate, prior assignee, and delay history.</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Invariant 3: Zero Denominator Handling</w:t>
            </w:r>
          </w:p>
        </w:tc>
        <w:tc>
          <w:tcPr>
            <w:tcW w:type="dxa" w:w="31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No metric calculation may divide by zero or emit NaN / null values into executive dashboards.</w:t>
            </w:r>
          </w:p>
        </w:tc>
        <w:tc>
          <w:tcPr>
            <w:tcW w:type="dxa" w:w="4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If total tasks or denominator is zero, the calculation engine outputs 'N/A' (Not Applicable). If no target is set, outputs 'Target Not Configured' rather than 0%.</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Invariant 4: CRM Financial Boundary</w:t>
            </w:r>
          </w:p>
        </w:tc>
        <w:tc>
          <w:tcPr>
            <w:tcW w:type="dxa" w:w="31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The external CRM remains the sole authoritative source of truth for commercial deal closing and broker fee totals.</w:t>
            </w:r>
          </w:p>
        </w:tc>
        <w:tc>
          <w:tcPr>
            <w:tcW w:type="dxa" w:w="4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IOTS imports verified CRM records and strictly tracks internal operational task execution, lead giver (30%) / receiver (70%) follow-ups, and computes CIRIL's 7.5% royalty.</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Invariant 5: Authority Boundary</w:t>
            </w:r>
          </w:p>
        </w:tc>
        <w:tc>
          <w:tcPr>
            <w:tcW w:type="dxa" w:w="31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Administrative privilege alone does not approve business deliverables, leave requests, or commercial terms.</w:t>
            </w:r>
          </w:p>
        </w:tc>
        <w:tc>
          <w:tcPr>
            <w:tcW w:type="dxa" w:w="4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Super Admin and IT Analyst control platform infrastructure; business approvals strictly follow configured managerial reporting hierarchies (Lead Manager → Senior Manager → GM).</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3. The Universal Evidence System Architecture</w:t>
      </w:r>
    </w:p>
    <w:p>
      <w:pPr>
        <w:spacing w:after="100" w:before="80"/>
        <w:jc w:val="left"/>
      </w:pPr>
      <w:r>
        <w:rPr>
          <w:rFonts w:ascii="Arial" w:cs="Arial" w:eastAsia="Arial" w:hAnsi="Arial"/>
          <w:b w:val="false"/>
          <w:bCs w:val="false"/>
          <w:i w:val="false"/>
          <w:iCs w:val="false"/>
          <w:color w:val="202830"/>
          <w:sz w:val="22"/>
          <w:szCs w:val="22"/>
        </w:rPr>
        <w:t xml:space="preserve">A fundamental requirement of IOTS is that no task can be marked 'Completed' or 'Closed' based on subjective word of mouth. Every operational action requires verifiable evidence. The Evidence System provides four distinct tiers of proof: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400"/>
        <w:gridCol w:w="2600"/>
        <w:gridCol w:w="25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Evidence Tier</w:t>
            </w:r>
          </w:p>
        </w:tc>
        <w:tc>
          <w:tcPr>
            <w:tcW w:type="dxa" w:w="24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Evidence Classification</w:t>
            </w:r>
          </w:p>
        </w:tc>
        <w:tc>
          <w:tcPr>
            <w:tcW w:type="dxa" w:w="26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Artifact / Payload</w:t>
            </w:r>
          </w:p>
        </w:tc>
        <w:tc>
          <w:tcPr>
            <w:tcW w:type="dxa" w:w="25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Verification &amp; QA Gate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Tier 1: Digital Artifacts</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Formal documents, presentations, financial models, designs.</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Uploaded PDF, DOCX, XLSX, SVG, or Figma URL with SHA-256 hash.</w:t>
            </w:r>
          </w:p>
        </w:tc>
        <w:tc>
          <w:tcPr>
            <w:tcW w:type="dxa" w:w="25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Reviewed by Lead Manager against brief; requires explicit approved status.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Tier 2: Field &amp; Telemetry Proof</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Property site visits, client meetings, facility inspections.</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Hardware GPS coordinates (±10m), site photograph with EXIF timestamp.</w:t>
            </w:r>
          </w:p>
        </w:tc>
        <w:tc>
          <w:tcPr>
            <w:tcW w:type="dxa" w:w="25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Geofence proximity check against verified commercial property coordinates.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Tier 3: Third-Party Confirmations</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Lease sign-offs, brokerage payments, member onboarding.</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agreement scan, bank remittance advice, CRM deal transaction ID.</w:t>
            </w:r>
          </w:p>
        </w:tc>
        <w:tc>
          <w:tcPr>
            <w:tcW w:type="dxa" w:w="25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General Manager and Accounts Manager dual-signature verification.</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Tier 4: System Telemetry</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Uptime, security scans, server patches, API metrics.</w:t>
            </w:r>
          </w:p>
        </w:tc>
        <w:tc>
          <w:tcPr>
            <w:tcW w:type="dxa" w:w="26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Prometheus log, CI/CD run ID, Git commit hash, health probe JSON.</w:t>
            </w:r>
          </w:p>
        </w:tc>
        <w:tc>
          <w:tcPr>
            <w:tcW w:type="dxa" w:w="25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IT Analyst and Super Admin automated telemetry audit.</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spacing w:after="60" w:before="80"/>
        <w:jc w:val="left"/>
      </w:pPr>
      <w:r>
        <w:rPr>
          <w:rFonts w:ascii="Arial" w:cs="Arial" w:eastAsia="Arial" w:hAnsi="Arial"/>
          <w:b/>
          <w:bCs/>
          <w:i w:val="false"/>
          <w:iCs w:val="false"/>
          <w:color w:val="19344A"/>
          <w:sz w:val="22"/>
          <w:szCs w:val="22"/>
        </w:rPr>
        <w:t xml:space="preserve">Evidence Data Contract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360"/>
      </w:tblGrid>
      <w:tr>
        <w:tc>
          <w:tcPr>
            <w:tcW w:type="dxa" w:w="9360"/>
            <w:tcBorders>
              <w:top w:val="single" w:color="C09860" w:sz="2"/>
              <w:left w:val="single" w:color="C09860" w:sz="12"/>
              <w:bottom w:val="single" w:color="C09860" w:sz="2"/>
              <w:right w:val="single" w:color="C09860" w:sz="2"/>
            </w:tcBorders>
            <w:shd w:fill="FDFBF7" w:val="clear"/>
          </w:tcPr>
          <w:p>
            <w:pPr>
              <w:spacing w:after="60" w:before="60"/>
            </w:pPr>
            <w:r>
              <w:rPr>
                <w:rFonts w:ascii="Arial" w:cs="Arial" w:eastAsia="Arial" w:hAnsi="Arial"/>
                <w:b/>
                <w:bCs/>
                <w:color w:val="19344A"/>
                <w:sz w:val="22"/>
                <w:szCs w:val="22"/>
              </w:rPr>
              <w:t xml:space="preserve">JSON Evidence Record Schema</w:t>
            </w:r>
          </w:p>
          <w:p>
            <w:pPr>
              <w:spacing w:after="60" w:before="40"/>
            </w:pPr>
            <w:r>
              <w:rPr>
                <w:rFonts w:ascii="Arial" w:cs="Arial" w:eastAsia="Arial" w:hAnsi="Arial"/>
                <w:color w:val="4A4943"/>
                <w:sz w:val="20"/>
                <w:szCs w:val="20"/>
              </w:rPr>
              <w:t xml:space="preserve">{
  "evidenceId": "EVD_20261013_0942",
  "taskId": "TSK-084",
  "actorId": "CIRIL-EXEC-005",
  "evidenceTier": 1,
  "artifactUri": "https://vault.ciril.in/evidence/TSK-084_v2.pdf",
  "sha256": "e3b0c44298fc1c149afbf4c8996fb92427ae41e4649b934ca495991b7852b855",
  "submittedAt": "2026-10-13T10:14:22Z",
  "status": "APPROVED",
  "reviewedBy": "CIRIL-OPS-004",
  "reviewComments": "Proposal structure verified against Bangalore Tech Park RFP."
}</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4. Detailed Role-by-Role Tracking &amp; Evidence Specifications</w:t>
      </w:r>
    </w:p>
    <w:p>
      <w:pPr>
        <w:spacing w:after="120" w:before="80"/>
        <w:jc w:val="left"/>
      </w:pPr>
      <w:r>
        <w:rPr>
          <w:rFonts w:ascii="Arial" w:cs="Arial" w:eastAsia="Arial" w:hAnsi="Arial"/>
          <w:b w:val="false"/>
          <w:bCs w:val="false"/>
          <w:i w:val="false"/>
          <w:iCs w:val="false"/>
          <w:color w:val="202830"/>
          <w:sz w:val="22"/>
          <w:szCs w:val="22"/>
        </w:rPr>
        <w:t xml:space="preserve">This chapter provides the definitive operational tracking blueprint for all 11 roles within CIRIL. For every role, we specify their concrete metrics, exact calculation formulas, evidence deliverables, and managerial surveillance mechanisms.</w:t>
      </w:r>
    </w:p>
    <w:p>
      <w:pPr>
        <w:pStyle w:val="Heading2"/>
      </w:pPr>
      <w:r>
        <w:rPr>
          <w:rFonts w:ascii="Arial" w:cs="Arial" w:eastAsia="Arial" w:hAnsi="Arial"/>
          <w:b/>
          <w:bCs/>
          <w:color w:val="32749A"/>
          <w:sz w:val="26"/>
          <w:szCs w:val="26"/>
        </w:rPr>
        <w:t xml:space="preserve">4.1 Role 1: Executive Chairman (Apex Leadership Cockpit)</w:t>
      </w:r>
    </w:p>
    <w:p>
      <w:pPr>
        <w:spacing w:after="100" w:before="100"/>
        <w:jc w:val="left"/>
      </w:pPr>
      <w:r>
        <w:rPr>
          <w:rFonts w:ascii="Arial" w:cs="Arial" w:eastAsia="Arial" w:hAnsi="Arial"/>
          <w:b w:val="false"/>
          <w:bCs w:val="false"/>
          <w:i/>
          <w:iCs/>
          <w:color w:val="4A4943"/>
          <w:sz w:val="22"/>
          <w:szCs w:val="22"/>
        </w:rPr>
        <w:t xml:space="preserve">Scope: Apex strategic governance, organizational health radar, royalty monitoring, and final approval for quarterly excellence recognition.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Enterprise On-Time Delivery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OTDR = (Total On-Time Completed Tasks / Total Completed Tasks)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Continuous aggregation across all 5 operational zones.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92.0%</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Validated task closure records in Shared Database.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Zonal Royalty Realization</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Royalty = Sum(Closed Deal Brokerage * 7.5%) across North, South, East, West.</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Monthly CRM reconciliation vs Accounts remittance.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of closed transactions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Bank advice slips &amp; verified CRM closing certificates.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Critical Escalation Resolution SLA</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elapsed from escalation creation to resolution sign-off.</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timer on Critical severity tickets.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24 hours for Critical tickets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GM intervention note and audit log.</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Consecutive Star Award Approvals</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Verification of employees maintaining ≥90% score for 3 consecutive months.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90-day evaluation engine query.</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Quarterly executive appraisal review</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Digital Chairman signature on Quarterly Award Certificate.</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4.2 Role 2: General Manager (Corporate Operations &amp; Governance)</w:t>
      </w:r>
    </w:p>
    <w:p>
      <w:pPr>
        <w:spacing w:after="100" w:before="100"/>
        <w:jc w:val="left"/>
      </w:pPr>
      <w:r>
        <w:rPr>
          <w:rFonts w:ascii="Arial" w:cs="Arial" w:eastAsia="Arial" w:hAnsi="Arial"/>
          <w:b w:val="false"/>
          <w:bCs w:val="false"/>
          <w:i/>
          <w:iCs/>
          <w:color w:val="4A4943"/>
          <w:sz w:val="22"/>
          <w:szCs w:val="22"/>
        </w:rPr>
        <w:t xml:space="preserve">Scope: Day-to-day organizational surveillance, inter-departmental capacity balancing, BoD/Finance/Legal alignment, and member alliance expansion.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Departmental Capacity Variance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Var = Max(DeptLoad%) - Min(DeptLoad%) across all operational branches.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Daily capacity engine scan at 09:30 and 17:00.</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Variance &lt; 25%</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Workload re-balancing memos &amp; transfer orders.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Inter-Team Escalation Velocity</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Mean Time to Resolve (MTTR) inter-team disputes or blockers.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Ticketing state tracking from Escalated to Resolved.</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MTTR &lt; 12 hours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Written mediation record and agreed next actions.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Statutory &amp; BoD Compliance SLA</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Compliance = (Filed Statutory Filings / Required Filings)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Quarterly audit against corporate governance calendar.</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On-Time</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Certified board resolutions &amp; filed regulatory receipts.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Member Broker Alliance Growth</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Net new verified member brokerage firms onboarded per quarter.</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Verification of signed alliance agreements.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5 firms / zone / quarter</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CIRIL Network Charter &amp; KYC dossiers.</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4.3 Role 3: Senior Operations Manager (Multi-Team Capacity &amp; Oversight)</w:t>
      </w:r>
    </w:p>
    <w:p>
      <w:pPr>
        <w:spacing w:after="100" w:before="100"/>
        <w:jc w:val="left"/>
      </w:pPr>
      <w:r>
        <w:rPr>
          <w:rFonts w:ascii="Arial" w:cs="Arial" w:eastAsia="Arial" w:hAnsi="Arial"/>
          <w:b w:val="false"/>
          <w:bCs w:val="false"/>
          <w:i/>
          <w:iCs/>
          <w:color w:val="4A4943"/>
          <w:sz w:val="22"/>
          <w:szCs w:val="22"/>
        </w:rPr>
        <w:t xml:space="preserve">Scope: Direct supervision over multiple team pods, multi-team workload balancing, manager escalation review, and senior approval sign-offs.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Multi-Team Workload Utilization</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Util = (Total Active Task Hours / Total Team Available Hours)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weekly timesheet &amp; task volume telemetry.</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75% - 85% (Optimal Band)</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Team capacity dashboard snapshots &amp; sprint logs.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Senior Approval Queue Latency</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from task submission to Senior Manager approval or revision request.</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Timestamp differential in Review queue.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6 hours during business day</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Approved digital stamp or structured feedback memo.</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Overdue Work Containment</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OverdueRate = (Overdue Tasks / Total Open Tasks)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Daily automated overdue scanner at 18:00.</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5.0% of open inventory</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Overdue Intervention Log with reason &amp; updated due date.</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4.4 Role 4: Lead Operations Manager (Team Command &amp; Execution QA)</w:t>
      </w:r>
    </w:p>
    <w:p>
      <w:pPr>
        <w:spacing w:after="100" w:before="100"/>
        <w:jc w:val="left"/>
      </w:pPr>
      <w:r>
        <w:rPr>
          <w:rFonts w:ascii="Arial" w:cs="Arial" w:eastAsia="Arial" w:hAnsi="Arial"/>
          <w:b w:val="false"/>
          <w:bCs w:val="false"/>
          <w:i/>
          <w:iCs/>
          <w:color w:val="4A4943"/>
          <w:sz w:val="22"/>
          <w:szCs w:val="22"/>
        </w:rPr>
        <w:t xml:space="preserve">Scope: Direct team command, daily task allocation, live availability tracking, overdue task intervention, QA reviews, and leave approvals.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Daily Task Allocation Velocity</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Percentage of incoming operational briefs allocated within 2 hours.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Timestamp from brief arrival to task assignment.</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95% allocated within 2h</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System task creation records with defined deliverables.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QA Review Turnaround Time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taken to inspect submitted work deliverables.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Timer from WAITING_FOR_REVIEW to decision.</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3 business hours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QA checklist completed &amp; signed digitally.</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First-Time Acceptance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FAR = (Tasks Approved Without Revision / Total Tasks Submitted)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Revision count per task in audit ledger.</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85%</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Direct closure records without REVISION_REQUIRED status.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Leave &amp; Permission Response SLA</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Response time on employee leave and remote-work requests.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request queue timer.</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4 business hours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Approval/Rejection record with written rationale.</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4.5 Role 5: Operations Executive (Field Execution &amp; Delivery)</w:t>
      </w:r>
    </w:p>
    <w:p>
      <w:pPr>
        <w:spacing w:after="100" w:before="100"/>
        <w:jc w:val="left"/>
      </w:pPr>
      <w:r>
        <w:rPr>
          <w:rFonts w:ascii="Arial" w:cs="Arial" w:eastAsia="Arial" w:hAnsi="Arial"/>
          <w:b w:val="false"/>
          <w:bCs w:val="false"/>
          <w:i/>
          <w:iCs/>
          <w:color w:val="4A4943"/>
          <w:sz w:val="22"/>
          <w:szCs w:val="22"/>
        </w:rPr>
        <w:t xml:space="preserve">Scope: Day-to-day execution of commercial proposals, client requirement analysis, property site visits, and operational deliverables.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Individual Task Completion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TCR = (Completed Assigned Tasks / Total Assigned Tasks)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Weekly and monthly task ledger counts.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92.0%</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All deliverables submitted and approved by Lead Manager.</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On-Time SLA Delivery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OTDR = (Tasks Completed on or before DueDate / Total Completed Tasks)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Comparison of submission timestamp vs task due date.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90.0%</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System timestamps on submission entries.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Daily Work Activity Log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Compliance = (Days with Logged Activity / Total Working Days)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Activity record verification by 18:30 daily.</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daily logging</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Minimum 1 progress update + 1 work note per active task.</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Field Proximity Verification</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Ratio of property visit tasks with verified GPS coordinates.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geofence check against property location.</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for off-premise tasks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GPS fix within 50m of site + inspection photo upload.</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4.6 Role 6: Business Development Executive (Member Network &amp; Deals)</w:t>
      </w:r>
    </w:p>
    <w:p>
      <w:pPr>
        <w:spacing w:after="100" w:before="100"/>
        <w:jc w:val="left"/>
      </w:pPr>
      <w:r>
        <w:rPr>
          <w:rFonts w:ascii="Arial" w:cs="Arial" w:eastAsia="Arial" w:hAnsi="Arial"/>
          <w:b w:val="false"/>
          <w:bCs w:val="false"/>
          <w:i/>
          <w:iCs/>
          <w:color w:val="4A4943"/>
          <w:sz w:val="22"/>
          <w:szCs w:val="22"/>
        </w:rPr>
        <w:t xml:space="preserve">Scope: Member brokerage outreach, commercial lead handshake coordination across North/South/East/West zones, and royalty fee realization.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Verified Prospect Outreach</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Number of verified broker outreach contacts initiated per week.</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Logged calls, meetings, and introductory dossiers in CRM.</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25 qualified contacts / week</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Call recordings/summaries, email threads, and contact cards.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Lead Handshake Velocity</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from receiving client mandate to transferring to Lead Receiver.</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Timestamp from lead registration to zonal manager acceptance.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24 hours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Zonal Lead Handshake Form signed by both parties.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Commercial Deal Closure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Quarterly volume and value of closed commercial leases/sales.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CRM transaction confirmation matched against bank advice.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Target agreed in annual business plan</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Lease Agreement, Brokerage Invoice, 30/70 Split Receipt.</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CIRIL Royalty Remittance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Collection rate of CIRIL's 7.5% royalty from both brokerage parties.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Accounts reconciliation within 15 days of deal payment.</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remittance compliance</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Bank payment confirmation &amp; royalty credit voucher.</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4.7 Role 7: Creatives &amp; Communications Associate (Design &amp; Brand)</w:t>
      </w:r>
    </w:p>
    <w:p>
      <w:pPr>
        <w:spacing w:after="100" w:before="100"/>
        <w:jc w:val="left"/>
      </w:pPr>
      <w:r>
        <w:rPr>
          <w:rFonts w:ascii="Arial" w:cs="Arial" w:eastAsia="Arial" w:hAnsi="Arial"/>
          <w:b w:val="false"/>
          <w:bCs w:val="false"/>
          <w:i/>
          <w:iCs/>
          <w:color w:val="4A4943"/>
          <w:sz w:val="22"/>
          <w:szCs w:val="22"/>
        </w:rPr>
        <w:t xml:space="preserve">Scope: Production of high-stakes corporate pitch decks, marketing collateral, market research publications, and brand asset version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Creative Asset Delivery SLA</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Percentage of graphic/deck deliverables completed on or before deadline.</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Submission timestamp vs briefing deadline.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92.0%</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Final production asset uploaded to Creative Vault.</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Revision Iteration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Average number of revision cycles per creative brief.</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Count of version increments (v1, v2, v3) before sign-off.</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2 iterations per asset</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Versioned files with changelog notes on each revision.</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Brand Guideline Adherence Score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Quality assessment score based on typography, color tokens, and layout.</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Lead Manager QA inspection against Style Guide.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95% compliance score</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Approved brand QA checklist.</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4.8 Role 8: Social Media Manager (Channel Distribution &amp; Engagement)</w:t>
      </w:r>
    </w:p>
    <w:p>
      <w:pPr>
        <w:spacing w:after="100" w:before="100"/>
        <w:jc w:val="left"/>
      </w:pPr>
      <w:r>
        <w:rPr>
          <w:rFonts w:ascii="Arial" w:cs="Arial" w:eastAsia="Arial" w:hAnsi="Arial"/>
          <w:b w:val="false"/>
          <w:bCs w:val="false"/>
          <w:i/>
          <w:iCs/>
          <w:color w:val="4A4943"/>
          <w:sz w:val="22"/>
          <w:szCs w:val="22"/>
        </w:rPr>
        <w:t xml:space="preserve">Scope: Digital distribution across LinkedIn, X, and Instagram, campaign publishing schedules, engagement telemetry, and inquiry triage.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Publishing Schedule Adherence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Adherence = (Posts Published on Time / Scheduled Posts)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comparison with weekly editorial calendar.</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95%</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Live post permalinks and screenshot archives.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Audience Engagement Rate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Engagement = (Interactions / Total Impressions)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Monthly platform analytics exports.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Positive trend vs prior month</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Exported analytics CSV from LinkedIn / X.</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Inbound Inquiry Response SLA</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taken to respond to social leads and forward to BD queue.</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Timestamp from message receipt to response.</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30 minutes during business day</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CRM inquiry intake ticket ID.</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4.9 Role 9: System Administrator (Personnel &amp; Geofence Boundaries)</w:t>
      </w:r>
    </w:p>
    <w:p>
      <w:pPr>
        <w:spacing w:after="100" w:before="100"/>
        <w:jc w:val="left"/>
      </w:pPr>
      <w:r>
        <w:rPr>
          <w:rFonts w:ascii="Arial" w:cs="Arial" w:eastAsia="Arial" w:hAnsi="Arial"/>
          <w:b w:val="false"/>
          <w:bCs w:val="false"/>
          <w:i/>
          <w:iCs/>
          <w:color w:val="4A4943"/>
          <w:sz w:val="22"/>
          <w:szCs w:val="22"/>
        </w:rPr>
        <w:t xml:space="preserve">Scope: Employee onboarding, role provisioning, campus geofence perimeter calibration, attendance audit, and corporate announcements.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User Provisioning Turnaround</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Time from HR onboarding notification to credential issuance.</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System timestamp on account creation.</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2 business hours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Completed Onboarding Checklist with assigned employee ID.</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Geofence Perimeter Precision</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Verification of authorized campus boundary coordinates.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Monthly satellite &amp; Wi-Fi BSSID validation.</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Zero false-onsite drift (350m radius)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Geofence Calibration Audit Report.</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Attendance Exception Triage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Resolution velocity on missed check-ins or hardware GPS anomalies.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Daily exception queue audit at 11:00.</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triaged daily</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Manager-signed Attendance Rectification Note.</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4.10 Role 10: Super Administrator (Platform Governance &amp; Compliance)</w:t>
      </w:r>
    </w:p>
    <w:p>
      <w:pPr>
        <w:spacing w:after="100" w:before="100"/>
        <w:jc w:val="left"/>
      </w:pPr>
      <w:r>
        <w:rPr>
          <w:rFonts w:ascii="Arial" w:cs="Arial" w:eastAsia="Arial" w:hAnsi="Arial"/>
          <w:b w:val="false"/>
          <w:bCs w:val="false"/>
          <w:i/>
          <w:iCs/>
          <w:color w:val="4A4943"/>
          <w:sz w:val="22"/>
          <w:szCs w:val="22"/>
        </w:rPr>
        <w:t xml:space="preserve">Scope: Master platform governance, organization vertical structures, security compliance, platform audit logs, and data authority.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Privileged Access Governance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Monthly audit of all accounts holding Admin, SA, or IT roles.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role privilege scan vs HR authorization roster.</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compliance; zero unauthorized roles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Signed Monthly Access Governance Certificate.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Master Configuration Audit</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Changelog verification for all organizational rule and threshold edits.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Tamper-proof audit ledger query on master settings.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Zero unapproved rule modifications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Two-step confirmation record with written business rationale.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Data Export &amp; Privacy Enforcement</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Tracking of bulk data export actions and recipient scope.</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Real-time logging on all CSV/Excel/PDF export triggers.</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100% export tracking</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Immutable SIEM log entry with IP, actor ID, and export hash.</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4.11 Role 11: IT System Analyst (Infrastructure, Telemetry &amp; Security)</w:t>
      </w:r>
    </w:p>
    <w:p>
      <w:pPr>
        <w:spacing w:after="100" w:before="100"/>
        <w:jc w:val="left"/>
      </w:pPr>
      <w:r>
        <w:rPr>
          <w:rFonts w:ascii="Arial" w:cs="Arial" w:eastAsia="Arial" w:hAnsi="Arial"/>
          <w:b w:val="false"/>
          <w:bCs w:val="false"/>
          <w:i/>
          <w:iCs/>
          <w:color w:val="4A4943"/>
          <w:sz w:val="22"/>
          <w:szCs w:val="22"/>
        </w:rPr>
        <w:t xml:space="preserve">Scope: Platform infrastructure uptime, Express API gateway reliability, database health, telemetry pipeline integrity, and technical incident resolution.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00"/>
        <w:gridCol w:w="2200"/>
        <w:gridCol w:w="2000"/>
        <w:gridCol w:w="1500"/>
        <w:gridCol w:w="1860"/>
      </w:tblGrid>
      <w:tr>
        <w:trPr>
          <w:tblHeader/>
        </w:trPr>
        <w:tc>
          <w:tcPr>
            <w:tcW w:type="dxa" w:w="18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Metric Name</w:t>
            </w:r>
          </w:p>
        </w:tc>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KPI Definition &amp; Formula</w:t>
            </w:r>
          </w:p>
        </w:tc>
        <w:tc>
          <w:tcPr>
            <w:tcW w:type="dxa" w:w="20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Measurement Method</w:t>
            </w:r>
          </w:p>
        </w:tc>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Target Benchmark</w:t>
            </w:r>
          </w:p>
        </w:tc>
        <w:tc>
          <w:tcPr>
            <w:tcW w:type="dxa" w:w="18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Evidence</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Service &amp; API Uptime</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Uptime = (Available Minutes / Total Operating Minutes) * 100</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Continuous synthetic ping every 60 seconds on /api/v1/health.</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 99.9% Uptime</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Automated uptime probe ledger &amp; incident alert logs.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API Response Latency (p95)</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95th percentile latency across all API routes.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Express request duration telemetry.</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p95 &lt; 150ms</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Prometheus / APM response latency graphs.</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Authentication Anomaly Detection</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Detection of credential brute-force, GPS spoofing, or rapid session jumps.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Real-time heuristic evaluation on /api/v1/auth/verify.</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&lt; 60 seconds detection velocity</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SIEM security alert ticket with client IP &amp; user agent.</w:t>
            </w:r>
          </w:p>
        </w:tc>
      </w:tr>
      <w:tr>
        <w:tc>
          <w:tcPr>
            <w:tcW w:type="dxa" w:w="18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Technical Incident MTTR</w:t>
            </w:r>
          </w:p>
        </w:tc>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Mean Time to Resolve technical infrastructure or database bugs.</w:t>
            </w:r>
          </w:p>
        </w:tc>
        <w:tc>
          <w:tcPr>
            <w:tcW w:type="dxa" w:w="20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Incident ticket lifecycle tracking.</w:t>
            </w:r>
          </w:p>
        </w:tc>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MTTR &lt; 2 hours for Sev-1</w:t>
            </w:r>
          </w:p>
        </w:tc>
        <w:tc>
          <w:tcPr>
            <w:tcW w:type="dxa" w:w="18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Technical Incident Post-Mortem Document with root cause.</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5. Surveillance, Intervention &amp; Escalation Mechanics</w:t>
      </w:r>
    </w:p>
    <w:p>
      <w:pPr>
        <w:spacing w:after="100" w:before="80"/>
        <w:jc w:val="left"/>
      </w:pPr>
      <w:r>
        <w:rPr>
          <w:rFonts w:ascii="Arial" w:cs="Arial" w:eastAsia="Arial" w:hAnsi="Arial"/>
          <w:b w:val="false"/>
          <w:bCs w:val="false"/>
          <w:i w:val="false"/>
          <w:iCs w:val="false"/>
          <w:color w:val="202830"/>
          <w:sz w:val="22"/>
          <w:szCs w:val="22"/>
        </w:rPr>
        <w:t xml:space="preserve">A tracking system is only as effective as its capacity to trigger timely, constructive interventions before operational failures cascade into missed revenue or client loss.</w:t>
      </w:r>
    </w:p>
    <w:p>
      <w:pPr>
        <w:pStyle w:val="Heading2"/>
      </w:pPr>
      <w:r>
        <w:rPr>
          <w:rFonts w:ascii="Arial" w:cs="Arial" w:eastAsia="Arial" w:hAnsi="Arial"/>
          <w:b/>
          <w:bCs/>
          <w:color w:val="32749A"/>
          <w:sz w:val="26"/>
          <w:szCs w:val="26"/>
        </w:rPr>
        <w:t xml:space="preserve">5.1 The Chairman's Radar vs. General Manager's Detailed Surveillance</w:t>
      </w:r>
    </w:p>
    <w:p>
      <w:pPr>
        <w:spacing w:after="60" w:before="60"/>
        <w:jc w:val="left"/>
      </w:pPr>
      <w:r>
        <w:rPr>
          <w:rFonts w:ascii="Arial" w:cs="Arial" w:eastAsia="Arial" w:hAnsi="Arial"/>
          <w:b w:val="false"/>
          <w:bCs w:val="false"/>
          <w:i w:val="false"/>
          <w:iCs w:val="false"/>
          <w:color w:val="202830"/>
          <w:sz w:val="22"/>
          <w:szCs w:val="22"/>
        </w:rPr>
        <w:t xml:space="preserve">The system strictly differentiates the surveillance scopes of executive leadership:</w:t>
      </w:r>
    </w:p>
    <w:p>
      <w:pPr>
        <w:pStyle w:val="ListParagraph"/>
        <w:numPr>
          <w:ilvl w:val="0"/>
          <w:numId w:val="2"/>
        </w:numPr>
        <w:spacing w:after="40" w:before="40"/>
      </w:pPr>
      <w:r>
        <w:rPr>
          <w:rFonts w:ascii="Arial" w:cs="Arial" w:eastAsia="Arial" w:hAnsi="Arial"/>
          <w:color w:val="202830"/>
          <w:sz w:val="22"/>
          <w:szCs w:val="22"/>
        </w:rPr>
        <w:t xml:space="preserve">Chairman Apex Radar: Displays enterprise-wide health meters, high-level SLA trends, active bottleneck counts, regional deal volumes, and outstanding strategic exceptions. Designed for 10-second cognitive consumption.</w:t>
      </w:r>
    </w:p>
    <w:p>
      <w:pPr>
        <w:pStyle w:val="ListParagraph"/>
        <w:numPr>
          <w:ilvl w:val="0"/>
          <w:numId w:val="2"/>
        </w:numPr>
        <w:spacing w:after="40" w:before="40"/>
      </w:pPr>
      <w:r>
        <w:rPr>
          <w:rFonts w:ascii="Arial" w:cs="Arial" w:eastAsia="Arial" w:hAnsi="Arial"/>
          <w:color w:val="202830"/>
          <w:sz w:val="22"/>
          <w:szCs w:val="22"/>
        </w:rPr>
        <w:t xml:space="preserve">General Manager Surveillance Cockpit: Drills down into individual departments, teams, and employee rosters. Identifies which managers have approval backlogs, which employees have declining completion rates, and which zonal pipelines are lagging.</w:t>
      </w:r>
    </w:p>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5.2 Blocker &amp; SLA Breach Severity Matrix</w:t>
      </w:r>
    </w:p>
    <w:p>
      <w:pPr>
        <w:spacing w:after="100" w:before="60"/>
        <w:jc w:val="left"/>
      </w:pPr>
      <w:r>
        <w:rPr>
          <w:rFonts w:ascii="Arial" w:cs="Arial" w:eastAsia="Arial" w:hAnsi="Arial"/>
          <w:b w:val="false"/>
          <w:bCs w:val="false"/>
          <w:i w:val="false"/>
          <w:iCs w:val="false"/>
          <w:color w:val="202830"/>
          <w:sz w:val="22"/>
          <w:szCs w:val="22"/>
        </w:rPr>
        <w:t xml:space="preserve">When tasks encounter delays or impediments, they are categorized into four standardized severity tiers defined in iots-system.drawio: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500"/>
        <w:gridCol w:w="2400"/>
        <w:gridCol w:w="2500"/>
        <w:gridCol w:w="2960"/>
      </w:tblGrid>
      <w:tr>
        <w:trPr>
          <w:tblHeader/>
        </w:trPr>
        <w:tc>
          <w:tcPr>
            <w:tcW w:type="dxa" w:w="1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Severity Tier</w:t>
            </w:r>
          </w:p>
        </w:tc>
        <w:tc>
          <w:tcPr>
            <w:tcW w:type="dxa" w:w="24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Trigger Criteria</w:t>
            </w:r>
          </w:p>
        </w:tc>
        <w:tc>
          <w:tcPr>
            <w:tcW w:type="dxa" w:w="2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Required Intervention</w:t>
            </w:r>
          </w:p>
        </w:tc>
        <w:tc>
          <w:tcPr>
            <w:tcW w:type="dxa" w:w="29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Escalation &amp; Notification Path</w:t>
            </w:r>
          </w:p>
        </w:tc>
      </w:tr>
      <w:tr>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Critical (Red)</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SLA missed by &gt;24h, active external blocker on high-value deal, client escalation.</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Immediate emergency meeting; task reassignment or additional resource allocation.</w:t>
            </w:r>
          </w:p>
        </w:tc>
        <w:tc>
          <w:tcPr>
            <w:tcW w:type="dxa" w:w="29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Instant alert to General Manager &amp; Chairman; notification to Senior Manager.</w:t>
            </w:r>
          </w:p>
        </w:tc>
      </w:tr>
      <w:tr>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High (Orange)</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Deadline approaching within 4h with &lt;50% progress; manager review pending &gt;6h.</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Lead Manager directly contacts assignee; clears resource roadblocks.</w:t>
            </w:r>
          </w:p>
        </w:tc>
        <w:tc>
          <w:tcPr>
            <w:tcW w:type="dxa" w:w="29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Senior Operations Manager &amp; Lead Manager dashboard alert.</w:t>
            </w:r>
          </w:p>
        </w:tc>
      </w:tr>
      <w:tr>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Medium (Yellow)</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Task rejected in QA review requiring second revision; minor resource shortage.</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Structured revision cycle with clear written feedback and 24h turn-around.</w:t>
            </w:r>
          </w:p>
        </w:tc>
        <w:tc>
          <w:tcPr>
            <w:tcW w:type="dxa" w:w="29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Lead Operations Manager &amp; Assignee dashboard alert.</w:t>
            </w:r>
          </w:p>
        </w:tc>
      </w:tr>
      <w:tr>
        <w:tc>
          <w:tcPr>
            <w:tcW w:type="dxa" w:w="1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Low (Blue)</w:t>
            </w:r>
          </w:p>
        </w:tc>
        <w:tc>
          <w:tcPr>
            <w:tcW w:type="dxa" w:w="24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Routine task running normally; minor progress delay under 2 hours.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Standard employee progress update and timeline self-correction.</w:t>
            </w:r>
          </w:p>
        </w:tc>
        <w:tc>
          <w:tcPr>
            <w:tcW w:type="dxa" w:w="29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Logged in employee workbench activity log.</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6. Automated Reporting &amp; Objective Recognition Framework</w:t>
      </w:r>
    </w:p>
    <w:p>
      <w:pPr>
        <w:spacing w:after="100" w:before="80"/>
        <w:jc w:val="left"/>
      </w:pPr>
      <w:r>
        <w:rPr>
          <w:rFonts w:ascii="Arial" w:cs="Arial" w:eastAsia="Arial" w:hAnsi="Arial"/>
          <w:b w:val="false"/>
          <w:bCs w:val="false"/>
          <w:i w:val="false"/>
          <w:iCs w:val="false"/>
          <w:color w:val="202830"/>
          <w:sz w:val="22"/>
          <w:szCs w:val="22"/>
        </w:rPr>
        <w:t xml:space="preserve">IOTS eliminates subjective bias by converting verified operational records into automated reports and mathematically transparent employee recognitions.</w:t>
      </w:r>
    </w:p>
    <w:p>
      <w:pPr>
        <w:pStyle w:val="Heading2"/>
      </w:pPr>
      <w:r>
        <w:rPr>
          <w:rFonts w:ascii="Arial" w:cs="Arial" w:eastAsia="Arial" w:hAnsi="Arial"/>
          <w:b/>
          <w:bCs/>
          <w:color w:val="32749A"/>
          <w:sz w:val="26"/>
          <w:szCs w:val="26"/>
        </w:rPr>
        <w:t xml:space="preserve">6.1 Scheduled Reporting Engines</w:t>
      </w:r>
    </w:p>
    <w:p>
      <w:pPr>
        <w:pStyle w:val="ListParagraph"/>
        <w:numPr>
          <w:ilvl w:val="0"/>
          <w:numId w:val="2"/>
        </w:numPr>
        <w:spacing w:after="40" w:before="40"/>
      </w:pPr>
      <w:r>
        <w:rPr>
          <w:rFonts w:ascii="Arial" w:cs="Arial" w:eastAsia="Arial" w:hAnsi="Arial"/>
          <w:color w:val="202830"/>
          <w:sz w:val="22"/>
          <w:szCs w:val="22"/>
        </w:rPr>
        <w:t xml:space="preserve">Daily Digest (Delivered 19:00): Summarizes today's completed tasks, active blockers, overdue work by owner, team attendance, and top priorities for tomorrow.</w:t>
      </w:r>
    </w:p>
    <w:p>
      <w:pPr>
        <w:pStyle w:val="ListParagraph"/>
        <w:numPr>
          <w:ilvl w:val="0"/>
          <w:numId w:val="2"/>
        </w:numPr>
        <w:spacing w:after="40" w:before="40"/>
      </w:pPr>
      <w:r>
        <w:rPr>
          <w:rFonts w:ascii="Arial" w:cs="Arial" w:eastAsia="Arial" w:hAnsi="Arial"/>
          <w:color w:val="202830"/>
          <w:sz w:val="22"/>
          <w:szCs w:val="22"/>
        </w:rPr>
        <w:t xml:space="preserve">Weekly Performance Scorecard (Delivered Monday 08:30): Cross-team SLA achievement rates, capacity balancing scores, recurring bottlenecks, and regional commercial lead movements.</w:t>
      </w:r>
    </w:p>
    <w:p>
      <w:pPr>
        <w:pStyle w:val="ListParagraph"/>
        <w:numPr>
          <w:ilvl w:val="0"/>
          <w:numId w:val="2"/>
        </w:numPr>
        <w:spacing w:after="40" w:before="40"/>
      </w:pPr>
      <w:r>
        <w:rPr>
          <w:rFonts w:ascii="Arial" w:cs="Arial" w:eastAsia="Arial" w:hAnsi="Arial"/>
          <w:color w:val="202830"/>
          <w:sz w:val="22"/>
          <w:szCs w:val="22"/>
        </w:rPr>
        <w:t xml:space="preserve">Monthly Executive Period Report (Delivered 1st of Month): 30-day productivity trends, verified brokerage collections, 7.5% CIRIL royalties realized, and employee recognition rankings.</w:t>
      </w:r>
    </w:p>
    <w:p>
      <w:pPr>
        <w:spacing w:after="100" w:before="100"/>
        <w:jc w:val="left"/>
      </w:pPr>
      <w:r>
        <w:rPr>
          <w:rFonts w:ascii="Arial" w:cs="Arial" w:eastAsia="Arial" w:hAnsi="Arial"/>
          <w:b w:val="false"/>
          <w:bCs w:val="false"/>
          <w:i w:val="false"/>
          <w:iCs w:val="false"/>
          <w:color w:val="202830"/>
          <w:sz w:val="22"/>
          <w:szCs w:val="22"/>
        </w:rPr>
        <w:t xml:space="preserve"/>
      </w:r>
    </w:p>
    <w:p>
      <w:pPr>
        <w:pStyle w:val="Heading2"/>
      </w:pPr>
      <w:r>
        <w:rPr>
          <w:rFonts w:ascii="Arial" w:cs="Arial" w:eastAsia="Arial" w:hAnsi="Arial"/>
          <w:b/>
          <w:bCs/>
          <w:color w:val="32749A"/>
          <w:sz w:val="26"/>
          <w:szCs w:val="26"/>
        </w:rPr>
        <w:t xml:space="preserve">6.2 The Performance Reward System (Star Performer Algorithm)</w:t>
      </w:r>
    </w:p>
    <w:p>
      <w:pPr>
        <w:spacing w:after="60" w:before="60"/>
        <w:jc w:val="left"/>
      </w:pPr>
      <w:r>
        <w:rPr>
          <w:rFonts w:ascii="Arial" w:cs="Arial" w:eastAsia="Arial" w:hAnsi="Arial"/>
          <w:b w:val="false"/>
          <w:bCs w:val="false"/>
          <w:i w:val="false"/>
          <w:iCs w:val="false"/>
          <w:color w:val="202830"/>
          <w:sz w:val="22"/>
          <w:szCs w:val="22"/>
        </w:rPr>
        <w:t xml:space="preserve">The system calculates a monthly Composite Excellence Score for every employee using the formula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360"/>
      </w:tblGrid>
      <w:tr>
        <w:tc>
          <w:tcPr>
            <w:tcW w:type="dxa" w:w="9360"/>
            <w:tcBorders>
              <w:top w:val="single" w:color="C09860" w:sz="2"/>
              <w:left w:val="single" w:color="C09860" w:sz="12"/>
              <w:bottom w:val="single" w:color="C09860" w:sz="2"/>
              <w:right w:val="single" w:color="C09860" w:sz="2"/>
            </w:tcBorders>
            <w:shd w:fill="FDFBF7" w:val="clear"/>
          </w:tcPr>
          <w:p>
            <w:pPr>
              <w:spacing w:after="60" w:before="60"/>
            </w:pPr>
            <w:r>
              <w:rPr>
                <w:rFonts w:ascii="Arial" w:cs="Arial" w:eastAsia="Arial" w:hAnsi="Arial"/>
                <w:b/>
                <w:bCs/>
                <w:color w:val="19344A"/>
                <w:sz w:val="22"/>
                <w:szCs w:val="22"/>
              </w:rPr>
              <w:t xml:space="preserve">Composite Excellence Score Formula</w:t>
            </w:r>
          </w:p>
          <w:p>
            <w:pPr>
              <w:spacing w:after="60" w:before="40"/>
            </w:pPr>
            <w:r>
              <w:rPr>
                <w:rFonts w:ascii="Arial" w:cs="Arial" w:eastAsia="Arial" w:hAnsi="Arial"/>
                <w:color w:val="4A4943"/>
                <w:sz w:val="20"/>
                <w:szCs w:val="20"/>
              </w:rPr>
              <w:t xml:space="preserve">Score = (0.35 * TCR) + (0.35 * OTDR) + (0.15 * (100 - RCR)) + (0.15 * AttendanceRate)
Where:
• TCR = Task Completion Rate (% of assigned work completed)
• OTDR = On-Time Delivery Rate (% completed on or before due date)
• RCR = Revision Cycle Rate (% of submissions requiring correction)
• AttendanceRate = Punctual, verified attendance consistency (% of days present)
Qualification Thresholds:
• Score ≥ 92.0%: Qualifies as 'Star Performer of the Month'.
• 3 Consecutive Qualifying Months: Automatically escalates to Chairman Cockpit for prestigious Executive Leadership Award and formal compensation appraisal.</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pStyle w:val="Heading1"/>
      </w:pPr>
      <w:r>
        <w:rPr>
          <w:rFonts w:ascii="Arial" w:cs="Arial" w:eastAsia="Arial" w:hAnsi="Arial"/>
          <w:b/>
          <w:bCs/>
          <w:color w:val="19344A"/>
          <w:sz w:val="32"/>
          <w:szCs w:val="32"/>
        </w:rPr>
        <w:t xml:space="preserve">7. Database Schema &amp; Telemetry Data Contracts</w:t>
      </w:r>
    </w:p>
    <w:p>
      <w:pPr>
        <w:spacing w:after="100" w:before="80"/>
        <w:jc w:val="left"/>
      </w:pPr>
      <w:r>
        <w:rPr>
          <w:rFonts w:ascii="Arial" w:cs="Arial" w:eastAsia="Arial" w:hAnsi="Arial"/>
          <w:b w:val="false"/>
          <w:bCs w:val="false"/>
          <w:i w:val="false"/>
          <w:iCs w:val="false"/>
          <w:color w:val="202830"/>
          <w:sz w:val="22"/>
          <w:szCs w:val="22"/>
        </w:rPr>
        <w:t xml:space="preserve">To support this tracking architecture, the backend database implements the Shared Operational Records model specified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Table Entity</w:t>
            </w:r>
          </w:p>
        </w:tc>
        <w:tc>
          <w:tcPr>
            <w:tcW w:type="dxa" w:w="250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Primary / Foreign Keys</w:t>
            </w:r>
          </w:p>
        </w:tc>
        <w:tc>
          <w:tcPr>
            <w:tcW w:type="dxa" w:w="4660"/>
            <w:tcBorders>
              <w:top w:val="single" w:color="CCCCCC" w:sz="1"/>
              <w:left w:val="single" w:color="CCCCCC" w:sz="1"/>
              <w:bottom w:val="single" w:color="CCCCCC" w:sz="1"/>
              <w:right w:val="single" w:color="CCCCCC" w:sz="1"/>
            </w:tcBorders>
            <w:shd w:fill="19344A" w:val="clear"/>
            <w:vAlign w:val="center"/>
          </w:tcPr>
          <w:p>
            <w:pPr>
              <w:spacing w:after="80" w:before="80"/>
              <w:jc w:val="left"/>
            </w:pPr>
            <w:r>
              <w:rPr>
                <w:rFonts w:ascii="Arial" w:cs="Arial" w:eastAsia="Arial" w:hAnsi="Arial"/>
                <w:b/>
                <w:bCs/>
                <w:color w:val="FFFFFF"/>
                <w:sz w:val="20"/>
                <w:szCs w:val="20"/>
              </w:rPr>
              <w:t xml:space="preserve">Core Telemetry Fields &amp; Invariants</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users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empId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name, email, roleId, permittedRoles (JSON), department, office, availabilityStatus (Available, Meeting, Field, Leave), createdAt.</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tasks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taskId
FK: assigneeId, reviewerId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title, description, priority (Low/Med/High/Crit), dueDate, originalDueDate, state (ASSIGNED, IN_PROGRESS, WAITING_FOR_REVIEW, UNDER_REVIEW, CLOSED), deliverables.</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task_activities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activityId
FK: taskId, actorId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type (NOTE, PROGRESS, TIME, ATTACHMENT), value, effortMinutes, timestamp. Immutable append-only log.</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evidence_records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evidenceId
FK: taskId, actorId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tier (1..4), artifactUri, sha256Hash, submittedAt, status (PENDING, APPROVED, REJECTED), reviewedBy, reviewComments.</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attendance_logs</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logId
FK: empId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date, punchInTime, punchOutTime, lat, lon, accuracy, locationStatus (ONSITE, REMOTE), distanceMeters.</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deals_pipeline</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dealId
FK: leadGiverId, leadReceiverId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propertyName, zone, dealValue, brokerageFee, cirilRoyalty (7.5%), status (MANDATE, PROPOSAL, NEGOTIATION, CLOSED), closedAt.</w:t>
            </w:r>
          </w:p>
        </w:tc>
      </w:tr>
      <w:tr>
        <w:tc>
          <w:tcPr>
            <w:tcW w:type="dxa" w:w="22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bCs/>
                <w:color w:val="202830"/>
                <w:sz w:val="19"/>
                <w:szCs w:val="19"/>
              </w:rPr>
              <w:t xml:space="preserve">audit_ledger</w:t>
            </w:r>
          </w:p>
        </w:tc>
        <w:tc>
          <w:tcPr>
            <w:tcW w:type="dxa" w:w="250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PK: eventId
FK: actorId</w:t>
            </w:r>
          </w:p>
        </w:tc>
        <w:tc>
          <w:tcPr>
            <w:tcW w:type="dxa" w:w="4660"/>
            <w:tcBorders>
              <w:top w:val="single" w:color="CCCCCC" w:sz="1"/>
              <w:left w:val="single" w:color="CCCCCC" w:sz="1"/>
              <w:bottom w:val="single" w:color="CCCCCC" w:sz="1"/>
              <w:right w:val="single" w:color="CCCCCC" w:sz="1"/>
            </w:tcBorders>
            <w:shd w:fill="FFFFFF" w:val="clear"/>
            <w:vAlign w:val="center"/>
          </w:tcPr>
          <w:p>
            <w:pPr>
              <w:spacing w:after="80" w:before="80"/>
              <w:jc w:val="left"/>
            </w:pPr>
            <w:r>
              <w:rPr>
                <w:rFonts w:ascii="Arial" w:cs="Arial" w:eastAsia="Arial" w:hAnsi="Arial"/>
                <w:b w:val="false"/>
                <w:bCs w:val="false"/>
                <w:color w:val="202830"/>
                <w:sz w:val="19"/>
                <w:szCs w:val="19"/>
              </w:rPr>
              <w:t xml:space="preserve">eventType, eventPayload (JSON), ipAddress, userAgent, timestamp. Cryptographically sequenced immutable ledger.</w:t>
            </w:r>
          </w:p>
        </w:tc>
      </w:tr>
    </w:tbl>
    <w:p>
      <w:pPr>
        <w:spacing w:after="100" w:before="100"/>
        <w:jc w:val="left"/>
      </w:pPr>
      <w:r>
        <w:rPr>
          <w:rFonts w:ascii="Arial" w:cs="Arial" w:eastAsia="Arial" w:hAnsi="Arial"/>
          <w:b w:val="false"/>
          <w:bCs w:val="false"/>
          <w:i w:val="false"/>
          <w:iCs w:val="false"/>
          <w:color w:val="202830"/>
          <w:sz w:val="22"/>
          <w:szCs w:val="22"/>
        </w:rPr>
        <w:t xml:space="preserve"/>
      </w:r>
    </w:p>
    <w:p>
      <w:pPr>
        <w:spacing w:after="60" w:before="160"/>
        <w:jc w:val="left"/>
      </w:pPr>
      <w:r>
        <w:rPr>
          <w:rFonts w:ascii="Arial" w:cs="Arial" w:eastAsia="Arial" w:hAnsi="Arial"/>
          <w:b/>
          <w:bCs/>
          <w:i w:val="false"/>
          <w:iCs w:val="false"/>
          <w:color w:val="19344A"/>
          <w:sz w:val="24"/>
          <w:szCs w:val="24"/>
        </w:rPr>
        <w:t xml:space="preserve">Conclusion &amp; Engineering Next Steps:</w:t>
      </w:r>
    </w:p>
    <w:p>
      <w:pPr>
        <w:spacing w:after="200" w:before="60"/>
        <w:jc w:val="left"/>
      </w:pPr>
      <w:r>
        <w:rPr>
          <w:rFonts w:ascii="Arial" w:cs="Arial" w:eastAsia="Arial" w:hAnsi="Arial"/>
          <w:b w:val="false"/>
          <w:bCs w:val="false"/>
          <w:i w:val="false"/>
          <w:iCs w:val="false"/>
          <w:color w:val="202830"/>
          <w:sz w:val="22"/>
          <w:szCs w:val="22"/>
        </w:rPr>
        <w:t xml:space="preserve">This specification provides the engineering blueprint for connecting the React 19 frontend and Express 5 backend within iots-app. By enforcing immutable evidence collection, continuous telemetry logging, and role-scoped surveillance cockpits, the CIRIL IOTS platform achieves complete operational transparency across the entire organization.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57A"/>
        <w:sz w:val="18"/>
        <w:szCs w:val="18"/>
      </w:rPr>
      <w:t xml:space="preserve">Page </w:t>
    </w:r>
    <w:r>
      <w:rPr>
        <w:rFonts w:ascii="Arial" w:cs="Arial" w:eastAsia="Arial" w:hAnsi="Arial"/>
        <w:color w:val="71757A"/>
        <w:sz w:val="18"/>
        <w:szCs w:val="18"/>
      </w:rPr>
      <w:fldChar w:fldCharType="begin"/>
      <w:instrText xml:space="preserve">PAGE</w:instrText>
      <w:fldChar w:fldCharType="separate"/>
      <w:fldChar w:fldCharType="end"/>
    </w:r>
    <w:r>
      <w:rPr>
        <w:rFonts w:ascii="Arial" w:cs="Arial" w:eastAsia="Arial" w:hAnsi="Arial"/>
        <w:color w:val="71757A"/>
        <w:sz w:val="18"/>
        <w:szCs w:val="18"/>
      </w:rPr>
      <w:t xml:space="preserve"> of </w:t>
    </w:r>
    <w:r>
      <w:rPr>
        <w:rFonts w:ascii="Arial" w:cs="Arial" w:eastAsia="Arial" w:hAnsi="Arial"/>
        <w:color w:val="71757A"/>
        <w:sz w:val="18"/>
        <w:szCs w:val="18"/>
      </w:rPr>
      <w:fldChar w:fldCharType="begin"/>
      <w:instrText xml:space="preserve">NUMPAGES</w:instrText>
      <w:fldChar w:fldCharType="separate"/>
      <w:fldChar w:fldCharType="end"/>
    </w:r>
    <w:r>
      <w:rPr>
        <w:rFonts w:ascii="Arial" w:cs="Arial" w:eastAsia="Arial" w:hAnsi="Arial"/>
        <w:color w:val="71757A"/>
        <w:sz w:val="18"/>
        <w:szCs w:val="18"/>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757A"/>
        <w:sz w:val="16"/>
        <w:szCs w:val="16"/>
      </w:rPr>
      <w:t xml:space="preserve">CIRIL IOTS — Operational Tracking &amp; Evidence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3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9344A"/>
      <w:sz w:val="40"/>
      <w:szCs w:val="40"/>
    </w:rPr>
  </w:style>
  <w:style w:type="paragraph" w:styleId="Heading1">
    <w:name w:val="Heading 1"/>
    <w:basedOn w:val="Normal"/>
    <w:next w:val="Normal"/>
    <w:qFormat/>
    <w:pPr>
      <w:spacing w:after="120" w:before="260"/>
      <w:outlineLvl w:val="0"/>
    </w:pPr>
    <w:rPr>
      <w:rFonts w:ascii="Arial" w:cs="Arial" w:eastAsia="Arial" w:hAnsi="Arial"/>
      <w:b/>
      <w:bCs/>
      <w:color w:val="19344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32749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A494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2026-10-13T06:01:34.221Z</dcterms:created>
  <dcterms:modified xsi:type="dcterms:W3CDTF">2026-10-13T06:01:34.222Z</dcterms:modified>
</cp:coreProperties>
</file>

<file path=docProps/custom.xml><?xml version="1.0" encoding="utf-8"?>
<Properties xmlns="http://schemas.openxmlformats.org/officeDocument/2006/custom-properties" xmlns:vt="http://schemas.openxmlformats.org/officeDocument/2006/docPropsVTypes"/>
</file>