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3F008" w14:textId="77777777" w:rsidR="00BE5313" w:rsidRDefault="00000000">
      <w:pPr>
        <w:pStyle w:val="Heading1"/>
      </w:pPr>
      <w:bookmarkStart w:id="0" w:name="header"/>
      <w:bookmarkStart w:id="1" w:name="laboratory-systems-support"/>
      <w:bookmarkStart w:id="2" w:name="content"/>
      <w:bookmarkEnd w:id="0"/>
      <w:r>
        <w:t>Laboratory Systems Support</w:t>
      </w:r>
    </w:p>
    <w:p w14:paraId="065C5C5E" w14:textId="77777777" w:rsidR="00BE5313" w:rsidRDefault="00000000">
      <w:pPr>
        <w:pStyle w:val="FirstParagraph"/>
      </w:pPr>
      <w:r>
        <w:t>Laboratory informatics systems like LIMS, CDS, SDMS and eLN rely on robust server infrastructure. These are typically web or client/server applications running on Windows/Linux with a dedicated database and file storage. For example, Illumina’s Clarity LIMS uses Apache Tomcat on a dedicated application server (Java 8, RabbitMQ, Elasticsearch) and a separate PostgreSQL database/file server</w:t>
      </w:r>
      <w:hyperlink r:id="rId5" w:anchor=":~:text=Whichever%20solution%20you%20choose%2C%20Illumina,as%20routers%2C%20firewalls%2C%20and%20switches">
        <w:r>
          <w:rPr>
            <w:rStyle w:val="Hyperlink"/>
          </w:rPr>
          <w:t>[1]</w:t>
        </w:r>
      </w:hyperlink>
      <w:hyperlink r:id="rId6" w:anchor=":~:text=Database%20and%20File%20Server">
        <w:r>
          <w:rPr>
            <w:rStyle w:val="Hyperlink"/>
          </w:rPr>
          <w:t>[2]</w:t>
        </w:r>
      </w:hyperlink>
      <w:r>
        <w:t xml:space="preserve">. Clarity explicitly requires </w:t>
      </w:r>
      <w:r>
        <w:rPr>
          <w:b/>
          <w:bCs/>
        </w:rPr>
        <w:t>dedicated hardware</w:t>
      </w:r>
      <w:r>
        <w:t xml:space="preserve"> and at least 1 Gbps network connectivity (no &lt;100 Mbps links) to ensure performance</w:t>
      </w:r>
      <w:hyperlink r:id="rId7" w:anchor=":~:text=Whichever%20solution%20you%20choose%2C%20Illumina,as%20routers%2C%20firewalls%2C%20and%20switches">
        <w:r>
          <w:rPr>
            <w:rStyle w:val="Hyperlink"/>
          </w:rPr>
          <w:t>[1]</w:t>
        </w:r>
      </w:hyperlink>
      <w:r>
        <w:t>. Data (samples, results, reports) is stored in the database with raw files on a NAS or SAN volume</w:t>
      </w:r>
      <w:hyperlink r:id="rId8" w:anchor=":~:text=Database%20and%20File%20Server">
        <w:r>
          <w:rPr>
            <w:rStyle w:val="Hyperlink"/>
          </w:rPr>
          <w:t>[2]</w:t>
        </w:r>
      </w:hyperlink>
      <w:r>
        <w:t>.</w:t>
      </w:r>
    </w:p>
    <w:p w14:paraId="2050467C" w14:textId="77777777" w:rsidR="00BE5313" w:rsidRDefault="00000000">
      <w:pPr>
        <w:pStyle w:val="Compact"/>
        <w:numPr>
          <w:ilvl w:val="0"/>
          <w:numId w:val="2"/>
        </w:numPr>
      </w:pPr>
      <w:r>
        <w:rPr>
          <w:b/>
          <w:bCs/>
        </w:rPr>
        <w:t>LIMS (Laboratory Information Management Systems)</w:t>
      </w:r>
      <w:r>
        <w:t xml:space="preserve"> – Track samples and lab workflows. Support staff must install, configure and validate LIMS software versions, manage SQL databases, allocate storage for data, and integrate with instruments. Best practice is to cluster or virtualize servers for high availability, schedule downtime for maintenance, and enforce backups and recovery tests.</w:t>
      </w:r>
    </w:p>
    <w:p w14:paraId="42ACCFB3" w14:textId="77777777" w:rsidR="00BE5313" w:rsidRDefault="00000000">
      <w:pPr>
        <w:pStyle w:val="Compact"/>
        <w:numPr>
          <w:ilvl w:val="0"/>
          <w:numId w:val="2"/>
        </w:numPr>
      </w:pPr>
      <w:r>
        <w:rPr>
          <w:b/>
          <w:bCs/>
        </w:rPr>
        <w:t>CDS (Chromatography Data Systems)</w:t>
      </w:r>
      <w:r>
        <w:t xml:space="preserve"> – Manage instrument control and raw data (e.g. Thermo Chromeleon, Waters Empower). Typically a client-server architecture with a central Data Vault (SQL/Oracle) and instrument controllers. Support tasks include installing instrument drivers, maintaining the SQL backend, and applying vendor patches. Data integrity features (audit trails, checksums) in CDS must be preserved.</w:t>
      </w:r>
    </w:p>
    <w:p w14:paraId="7AA8D8E5" w14:textId="77777777" w:rsidR="00BE5313" w:rsidRDefault="00000000">
      <w:pPr>
        <w:pStyle w:val="Compact"/>
        <w:numPr>
          <w:ilvl w:val="0"/>
          <w:numId w:val="2"/>
        </w:numPr>
      </w:pPr>
      <w:r>
        <w:rPr>
          <w:b/>
          <w:bCs/>
        </w:rPr>
        <w:t>SDMS (Scientific Data Management Systems)</w:t>
      </w:r>
      <w:r>
        <w:t xml:space="preserve"> – Central repositories for scientific files (chromatograms, spectra, etc.). Often implemented as document management layers (e.g. LabWare SDMS) on top of a database. Infrastructure support means ensuring adequate storage, indexing/search services, and integration with LIMS and instruments.</w:t>
      </w:r>
    </w:p>
    <w:p w14:paraId="3A95C559" w14:textId="77777777" w:rsidR="00BE5313" w:rsidRDefault="00000000">
      <w:pPr>
        <w:pStyle w:val="Compact"/>
        <w:numPr>
          <w:ilvl w:val="0"/>
          <w:numId w:val="2"/>
        </w:numPr>
      </w:pPr>
      <w:r>
        <w:rPr>
          <w:b/>
          <w:bCs/>
        </w:rPr>
        <w:t>eLN (Electronic Lab Notebooks)</w:t>
      </w:r>
      <w:r>
        <w:t xml:space="preserve"> – Web applications (often cloud or on-prem) for recording experiments. They require secure web servers, databases, and adherence to e-signature/audit requirements. Support staff ensure availability, SSL security, and routine validation of new features under GxP controls.</w:t>
      </w:r>
    </w:p>
    <w:p w14:paraId="1EC0C06D" w14:textId="77777777" w:rsidR="00BE5313" w:rsidRDefault="00000000">
      <w:pPr>
        <w:pStyle w:val="FirstParagraph"/>
      </w:pPr>
      <w:r>
        <w:t xml:space="preserve">Each of these lab systems must be </w:t>
      </w:r>
      <w:r>
        <w:rPr>
          <w:b/>
          <w:bCs/>
        </w:rPr>
        <w:t>validated and audit-ready</w:t>
      </w:r>
      <w:r>
        <w:t>. For GxP compliance, systems need traceability and controlled processes</w:t>
      </w:r>
      <w:hyperlink r:id="rId9" w:anchor=":~:text=,complete%2C%20consistent%2C%20enduring%2C%20available">
        <w:r>
          <w:rPr>
            <w:rStyle w:val="Hyperlink"/>
          </w:rPr>
          <w:t>[3]</w:t>
        </w:r>
      </w:hyperlink>
      <w:hyperlink r:id="rId10" w:anchor=":~:text=,including%20periodic%20restoration%20checks">
        <w:r>
          <w:rPr>
            <w:rStyle w:val="Hyperlink"/>
          </w:rPr>
          <w:t>[4]</w:t>
        </w:r>
      </w:hyperlink>
      <w:r>
        <w:t>. This means maintaining SOPs, validation plans (URS/FRS, test scripts, trace matrices, etc.) for each platform</w:t>
      </w:r>
      <w:hyperlink r:id="rId11" w:anchor=":~:text=">
        <w:r>
          <w:rPr>
            <w:rStyle w:val="Hyperlink"/>
          </w:rPr>
          <w:t>[5]</w:t>
        </w:r>
      </w:hyperlink>
      <w:r>
        <w:t>, and keeping records of changes. We collaborate with quality assurance to execute IQ/OQ/PQ tests on any software or OS upgrades. Vendor installers often supply qualification guides which we follow to ensure each system remains in a validated state.</w:t>
      </w:r>
    </w:p>
    <w:p w14:paraId="63A2C7F3" w14:textId="77777777" w:rsidR="00BE5313" w:rsidRDefault="00000000">
      <w:pPr>
        <w:pStyle w:val="Heading2"/>
      </w:pPr>
      <w:bookmarkStart w:id="3" w:name="manufacturing-ot-systems-support"/>
      <w:r>
        <w:t>Manufacturing &amp; OT Systems Support</w:t>
      </w:r>
    </w:p>
    <w:p w14:paraId="76DD9183" w14:textId="77777777" w:rsidR="00BE5313" w:rsidRDefault="00000000">
      <w:pPr>
        <w:pStyle w:val="FirstParagraph"/>
      </w:pPr>
      <w:r>
        <w:t>Manufacturing and OT applications have similar infrastructure needs but are often even more availability-critical and network-sensitive.</w:t>
      </w:r>
    </w:p>
    <w:p w14:paraId="2D243F6F" w14:textId="77777777" w:rsidR="00BE5313" w:rsidRDefault="00000000">
      <w:pPr>
        <w:numPr>
          <w:ilvl w:val="0"/>
          <w:numId w:val="3"/>
        </w:numPr>
      </w:pPr>
      <w:r>
        <w:rPr>
          <w:b/>
          <w:bCs/>
        </w:rPr>
        <w:lastRenderedPageBreak/>
        <w:t>MES (Manufacturing Execution Systems)</w:t>
      </w:r>
      <w:r>
        <w:t xml:space="preserve"> – These manage production workflows, inventory, and batch records (e.g. SAP ME, PTC Windchill, Ignition MES). MES servers are typically Windows or Linux with a high-performance DB (SQL Server, Oracle). Sizing is driven by real-time data collection: for instance, a plant using OPC UA to poll many devices demands high network bandwidth and low latency</w:t>
      </w:r>
      <w:hyperlink r:id="rId12" w:anchor=":~:text=%E2%80%A2%20WAN%20bandwidth%20and%20latency%3A,and">
        <w:r>
          <w:rPr>
            <w:rStyle w:val="Hyperlink"/>
          </w:rPr>
          <w:t>[6]</w:t>
        </w:r>
      </w:hyperlink>
      <w:r>
        <w:t>. A WAN-based MES connection can slow throughput if bandwidth is insufficient</w:t>
      </w:r>
      <w:hyperlink r:id="rId13" w:anchor=":~:text=%E2%80%A2%20WAN%20bandwidth%20and%20latency%3A,and">
        <w:r>
          <w:rPr>
            <w:rStyle w:val="Hyperlink"/>
          </w:rPr>
          <w:t>[6]</w:t>
        </w:r>
      </w:hyperlink>
      <w:r>
        <w:t xml:space="preserve">. In practice, deployment may use MQTT or edge agents to reduce load, but planning for </w:t>
      </w:r>
      <w:r>
        <w:rPr>
          <w:b/>
          <w:bCs/>
        </w:rPr>
        <w:t>hundreds of devices/users</w:t>
      </w:r>
      <w:r>
        <w:t xml:space="preserve"> per server is common</w:t>
      </w:r>
      <w:hyperlink r:id="rId14" w:anchor=":~:text=%E2%80%A2%20Server%20load%3A%20Depending%20on,then%20one%20server">
        <w:r>
          <w:rPr>
            <w:rStyle w:val="Hyperlink"/>
          </w:rPr>
          <w:t>[7]</w:t>
        </w:r>
      </w:hyperlink>
      <w:r>
        <w:t>. We provision clusters or replicated servers to handle peak loads and ensure the MES stays online. Backup and failover of the MES database are performed under change control.</w:t>
      </w:r>
    </w:p>
    <w:p w14:paraId="62A24E14" w14:textId="77777777" w:rsidR="00BE5313" w:rsidRDefault="00000000">
      <w:pPr>
        <w:numPr>
          <w:ilvl w:val="0"/>
          <w:numId w:val="3"/>
        </w:numPr>
      </w:pPr>
      <w:r>
        <w:rPr>
          <w:b/>
          <w:bCs/>
        </w:rPr>
        <w:t>DCS (Distributed Control Systems)</w:t>
      </w:r>
      <w:r>
        <w:t xml:space="preserve"> – These control continuous processes (e.g. Emerson DeltaV, Siemens PCS7). A DCS typically includes redundant controller servers, operator stations, and engineering workstations. Support is done in concert with OT/controls engineers. We manage any supporting Windows servers or virtualization platforms, but direct DCS components often run specialized OS on vendor hardware. Patches or upgrades are handled very carefully (usually offline in a QA environment) because a change often triggers functional revalidation. In regulated environments, note that altering a validated DCS </w:t>
      </w:r>
      <w:r>
        <w:rPr>
          <w:i/>
          <w:iCs/>
        </w:rPr>
        <w:t>software stack</w:t>
      </w:r>
      <w:r>
        <w:t xml:space="preserve"> can require lengthy re-certification</w:t>
      </w:r>
      <w:hyperlink r:id="rId15" w:anchor=":~:text=The%20hardware%20problem">
        <w:r>
          <w:rPr>
            <w:rStyle w:val="Hyperlink"/>
          </w:rPr>
          <w:t>[8]</w:t>
        </w:r>
      </w:hyperlink>
      <w:hyperlink r:id="rId16" w:anchor=":~:text=The%20certification%20problem">
        <w:r>
          <w:rPr>
            <w:rStyle w:val="Hyperlink"/>
          </w:rPr>
          <w:t>[9]</w:t>
        </w:r>
      </w:hyperlink>
      <w:r>
        <w:t>.</w:t>
      </w:r>
    </w:p>
    <w:p w14:paraId="079A3D6B" w14:textId="77777777" w:rsidR="00BE5313" w:rsidRDefault="00000000">
      <w:pPr>
        <w:numPr>
          <w:ilvl w:val="0"/>
          <w:numId w:val="3"/>
        </w:numPr>
      </w:pPr>
      <w:r>
        <w:rPr>
          <w:b/>
          <w:bCs/>
        </w:rPr>
        <w:t>Historian Systems</w:t>
      </w:r>
      <w:r>
        <w:t xml:space="preserve"> – Time-series databases (e.g. OSIsoft PI, Honeywell PHD) collect sensor and process data continuously. These servers run 24/7 and must never lose data. Best practice is to deploy them in high-availability mode. For example, OSIsoft PI’s HA architecture is designed so “PI is there all the time – users trust it. No late night heroics to restore a backup or perform routine maintenance… [it has a] simple design [that] is robust, low bandwidth and supported by WANs”</w:t>
      </w:r>
      <w:hyperlink r:id="rId17" w:anchor=":~:text=Built,Support%20more%20or%20specialized%20users">
        <w:r>
          <w:rPr>
            <w:rStyle w:val="Hyperlink"/>
          </w:rPr>
          <w:t>[10]</w:t>
        </w:r>
      </w:hyperlink>
      <w:r>
        <w:t>. In other words, PI servers can replicate data between nodes and across sites with minimal manual intervention</w:t>
      </w:r>
      <w:hyperlink r:id="rId18" w:anchor=":~:text=Built,Support%20more%20or%20specialized%20users">
        <w:r>
          <w:rPr>
            <w:rStyle w:val="Hyperlink"/>
          </w:rPr>
          <w:t>[10]</w:t>
        </w:r>
      </w:hyperlink>
      <w:r>
        <w:t>. Support tasks include ensuring the PI Data Archive and Asset Framework databases are replicated and that backups of archive files are regularly tested.</w:t>
      </w:r>
    </w:p>
    <w:p w14:paraId="4332F7C8" w14:textId="77777777" w:rsidR="00BE5313" w:rsidRDefault="00000000">
      <w:pPr>
        <w:numPr>
          <w:ilvl w:val="0"/>
          <w:numId w:val="3"/>
        </w:numPr>
      </w:pPr>
      <w:r>
        <w:rPr>
          <w:b/>
          <w:bCs/>
        </w:rPr>
        <w:t>Serialization Systems</w:t>
      </w:r>
      <w:r>
        <w:t xml:space="preserve"> – Used in pharma packaging to print and verify unique serial codes. These systems often consist of a database (tracking codes, product info), middleware to communicate with packaging line PLCs, and printers. The infrastructure is usually Windows or Linux servers with TCP/IP connections to line hardware. Support involves keeping the serialization database in sync, validating new software updates, and securing interfaces so that only authorized packaging data flows through. Because serialization is typically regulated (EU/FDA compliance), we maintain change control and validation for any updates.</w:t>
      </w:r>
    </w:p>
    <w:p w14:paraId="15587931" w14:textId="77777777" w:rsidR="00BE5313" w:rsidRDefault="00000000">
      <w:pPr>
        <w:numPr>
          <w:ilvl w:val="0"/>
          <w:numId w:val="3"/>
        </w:numPr>
      </w:pPr>
      <w:r>
        <w:rPr>
          <w:b/>
          <w:bCs/>
        </w:rPr>
        <w:t>EMS (Environmental Monitoring Systems)</w:t>
      </w:r>
      <w:r>
        <w:t xml:space="preserve"> – Systems that monitor lab or facility conditions (e.g. temperature/humidity sensors, particle counters). These may be standalone SCADA or IoT platforms. They often log data to a central server for real-time alerts. Support includes ensuring sensors are connected, data is archived in </w:t>
      </w:r>
      <w:r>
        <w:lastRenderedPageBreak/>
        <w:t>compliance with alarm limits, and that any software (e.g. Data Historian or SCADA) is patched and backed up. Like other lab systems, EMS data must be secure and traceable.</w:t>
      </w:r>
    </w:p>
    <w:p w14:paraId="7E2E15DA" w14:textId="77777777" w:rsidR="00BE5313" w:rsidRDefault="00000000">
      <w:pPr>
        <w:pStyle w:val="FirstParagraph"/>
      </w:pPr>
      <w:r>
        <w:t xml:space="preserve">In all manufacturing/OT cases, we work </w:t>
      </w:r>
      <w:r>
        <w:rPr>
          <w:i/>
          <w:iCs/>
        </w:rPr>
        <w:t>very closely with OT engineers, application owners, and vendors</w:t>
      </w:r>
      <w:r>
        <w:t>. Any server patch or hardware change is reviewed by OT and QA teams to maintain validation. We draft runbooks and checklists for planned maintenance in collaboration with production planners, minimizing impact on critical processes.</w:t>
      </w:r>
    </w:p>
    <w:p w14:paraId="49095038" w14:textId="77777777" w:rsidR="00BE5313" w:rsidRDefault="00000000">
      <w:pPr>
        <w:pStyle w:val="Heading2"/>
      </w:pPr>
      <w:bookmarkStart w:id="4" w:name="legacy-systems-platform-management"/>
      <w:bookmarkEnd w:id="3"/>
      <w:r>
        <w:t>Legacy Systems &amp; Platform Management</w:t>
      </w:r>
    </w:p>
    <w:p w14:paraId="05575049" w14:textId="77777777" w:rsidR="00BE5313" w:rsidRDefault="00000000">
      <w:pPr>
        <w:pStyle w:val="FirstParagraph"/>
      </w:pPr>
      <w:r>
        <w:t xml:space="preserve">Many lab and OT devices rely on </w:t>
      </w:r>
      <w:r>
        <w:rPr>
          <w:b/>
          <w:bCs/>
        </w:rPr>
        <w:t>legacy operating systems or platforms</w:t>
      </w:r>
      <w:r>
        <w:t xml:space="preserve"> (Windows XP/2003, old Unix, or specialized controllers). Such systems often remain in place because the hardware was validated with that OS</w:t>
      </w:r>
      <w:hyperlink r:id="rId19" w:anchor=":~:text=The%20hardware%20problem">
        <w:r>
          <w:rPr>
            <w:rStyle w:val="Hyperlink"/>
          </w:rPr>
          <w:t>[8]</w:t>
        </w:r>
      </w:hyperlink>
      <w:r>
        <w:t>. Replacing or upgrading can be prohibitively expensive and time-consuming – it may require replacing the entire equipment or re-certifying it under regulations</w:t>
      </w:r>
      <w:hyperlink r:id="rId20" w:anchor=":~:text=The%20hardware%20problem">
        <w:r>
          <w:rPr>
            <w:rStyle w:val="Hyperlink"/>
          </w:rPr>
          <w:t>[8]</w:t>
        </w:r>
      </w:hyperlink>
      <w:hyperlink r:id="rId21" w:anchor=":~:text=The%20certification%20problem">
        <w:r>
          <w:rPr>
            <w:rStyle w:val="Hyperlink"/>
          </w:rPr>
          <w:t>[9]</w:t>
        </w:r>
      </w:hyperlink>
      <w:r>
        <w:t>. For example, the NXLog blog notes that a control system’s software and hardware form “a validated unit” in regulated industries, so changing the OS can trigger 6–18 months of re-validation and huge cost</w:t>
      </w:r>
      <w:hyperlink r:id="rId22" w:anchor=":~:text=The%20certification%20problem">
        <w:r>
          <w:rPr>
            <w:rStyle w:val="Hyperlink"/>
          </w:rPr>
          <w:t>[9]</w:t>
        </w:r>
      </w:hyperlink>
      <w:r>
        <w:t>.</w:t>
      </w:r>
    </w:p>
    <w:p w14:paraId="01AFAF21" w14:textId="77777777" w:rsidR="00BE5313" w:rsidRDefault="00000000">
      <w:pPr>
        <w:pStyle w:val="BodyText"/>
      </w:pPr>
      <w:r>
        <w:t>Therefore, we manage legacy servers with special strategies:</w:t>
      </w:r>
    </w:p>
    <w:p w14:paraId="4BDE37B7" w14:textId="77777777" w:rsidR="00BE5313" w:rsidRDefault="00000000">
      <w:pPr>
        <w:pStyle w:val="Compact"/>
        <w:numPr>
          <w:ilvl w:val="0"/>
          <w:numId w:val="4"/>
        </w:numPr>
      </w:pPr>
      <w:r>
        <w:rPr>
          <w:b/>
          <w:bCs/>
        </w:rPr>
        <w:t>Isolation:</w:t>
      </w:r>
      <w:r>
        <w:t xml:space="preserve"> We segregate legacy systems on dedicated network segments or VLANs and use firewalls to strictly control traffic</w:t>
      </w:r>
      <w:hyperlink r:id="rId23" w:anchor=":~:text=1.%20Micro,without%20modifying%20the%20actual%20system">
        <w:r>
          <w:rPr>
            <w:rStyle w:val="Hyperlink"/>
          </w:rPr>
          <w:t>[11]</w:t>
        </w:r>
      </w:hyperlink>
      <w:hyperlink r:id="rId24" w:anchor=":~:text=8.%20Segment%20Legacy%20and%20Vendor,Systems">
        <w:r>
          <w:rPr>
            <w:rStyle w:val="Hyperlink"/>
          </w:rPr>
          <w:t>[12]</w:t>
        </w:r>
      </w:hyperlink>
      <w:r>
        <w:t>. OT network segmentation prevents a breach in IT or one OT device from affecting others.</w:t>
      </w:r>
    </w:p>
    <w:p w14:paraId="270C4033" w14:textId="77777777" w:rsidR="00BE5313" w:rsidRDefault="00000000">
      <w:pPr>
        <w:pStyle w:val="Compact"/>
        <w:numPr>
          <w:ilvl w:val="0"/>
          <w:numId w:val="4"/>
        </w:numPr>
      </w:pPr>
      <w:r>
        <w:rPr>
          <w:b/>
          <w:bCs/>
        </w:rPr>
        <w:t>Compensating Controls:</w:t>
      </w:r>
      <w:r>
        <w:t xml:space="preserve"> When patching isn’t possible (no vendor updates), we implement “virtual patching” at the network level and deploy industrial-grade endpoint protection where feasible</w:t>
      </w:r>
      <w:hyperlink r:id="rId25" w:anchor=":~:text=1.%20Micro,without%20modifying%20the%20actual%20system">
        <w:r>
          <w:rPr>
            <w:rStyle w:val="Hyperlink"/>
          </w:rPr>
          <w:t>[11]</w:t>
        </w:r>
      </w:hyperlink>
      <w:r>
        <w:t>. Micro-segmentation is explicitly recommended to isolate OT/legacy assets from IT networks</w:t>
      </w:r>
      <w:hyperlink r:id="rId26" w:anchor=":~:text=1.%20Micro,without%20modifying%20the%20actual%20system">
        <w:r>
          <w:rPr>
            <w:rStyle w:val="Hyperlink"/>
          </w:rPr>
          <w:t>[11]</w:t>
        </w:r>
      </w:hyperlink>
      <w:r>
        <w:t>. We may also run intrusion detection on those segments.</w:t>
      </w:r>
    </w:p>
    <w:p w14:paraId="1C07B168" w14:textId="77777777" w:rsidR="00BE5313" w:rsidRDefault="00000000">
      <w:pPr>
        <w:pStyle w:val="Compact"/>
        <w:numPr>
          <w:ilvl w:val="0"/>
          <w:numId w:val="4"/>
        </w:numPr>
      </w:pPr>
      <w:r>
        <w:rPr>
          <w:b/>
          <w:bCs/>
        </w:rPr>
        <w:t>Documentation &amp; Risk Assessment:</w:t>
      </w:r>
      <w:r>
        <w:t xml:space="preserve"> We update the system inventory and risk assessments, documenting each legacy system’s status. If a system is End-Of-Life, we either plan an upgrade/migration (with validation testing) or formally accept the risk with mitigation. All actions are logged in change-control records.</w:t>
      </w:r>
    </w:p>
    <w:p w14:paraId="6E2DA431" w14:textId="77777777" w:rsidR="00BE5313" w:rsidRDefault="00000000">
      <w:pPr>
        <w:pStyle w:val="FirstParagraph"/>
      </w:pPr>
      <w:r>
        <w:t xml:space="preserve">In short, we </w:t>
      </w:r>
      <w:r>
        <w:rPr>
          <w:b/>
          <w:bCs/>
        </w:rPr>
        <w:t>don’t simply “rip and replace”</w:t>
      </w:r>
      <w:r>
        <w:t xml:space="preserve"> legacy OT servers unless absolutely necessary. Instead, we secure them in place while planning longer-term remediation, consistent with best practices</w:t>
      </w:r>
      <w:hyperlink r:id="rId27" w:anchor=":~:text=The%20hardware%20problem">
        <w:r>
          <w:rPr>
            <w:rStyle w:val="Hyperlink"/>
          </w:rPr>
          <w:t>[8]</w:t>
        </w:r>
      </w:hyperlink>
      <w:hyperlink r:id="rId28" w:anchor=":~:text=1.%20Micro,without%20modifying%20the%20actual%20system">
        <w:r>
          <w:rPr>
            <w:rStyle w:val="Hyperlink"/>
          </w:rPr>
          <w:t>[11]</w:t>
        </w:r>
      </w:hyperlink>
      <w:r>
        <w:t>.</w:t>
      </w:r>
    </w:p>
    <w:p w14:paraId="6800DB97" w14:textId="77777777" w:rsidR="00BE5313" w:rsidRDefault="00000000">
      <w:pPr>
        <w:pStyle w:val="Heading2"/>
      </w:pPr>
      <w:bookmarkStart w:id="5" w:name="monitoring-backup-business-continuity"/>
      <w:bookmarkEnd w:id="4"/>
      <w:r>
        <w:t>Monitoring, Backup &amp; Business Continuity</w:t>
      </w:r>
    </w:p>
    <w:p w14:paraId="03F5305D" w14:textId="77777777" w:rsidR="00BE5313" w:rsidRDefault="00000000">
      <w:pPr>
        <w:pStyle w:val="FirstParagraph"/>
      </w:pPr>
      <w:r>
        <w:t>We use enterprise monitoring tools to track server health (CPU, memory, disk usage, process status) and alert on issues. For capacity planning, metrics from these tools help us anticipate when to add hardware or optimize loads.</w:t>
      </w:r>
    </w:p>
    <w:p w14:paraId="704D009A" w14:textId="77777777" w:rsidR="00BE5313" w:rsidRDefault="00000000">
      <w:pPr>
        <w:pStyle w:val="BodyText"/>
      </w:pPr>
      <w:r>
        <w:rPr>
          <w:b/>
          <w:bCs/>
        </w:rPr>
        <w:t>Backups:</w:t>
      </w:r>
      <w:r>
        <w:t xml:space="preserve"> All critical GxP servers (LIMS, MES, databases, file shares) are backed up regularly. We enforce strict backup policies: for example, each backup job is verified via </w:t>
      </w:r>
      <w:r>
        <w:lastRenderedPageBreak/>
        <w:t>test restores at defined intervals</w:t>
      </w:r>
      <w:hyperlink r:id="rId29" w:anchor=":~:text=,including%20periodic%20restoration%20checks">
        <w:r>
          <w:rPr>
            <w:rStyle w:val="Hyperlink"/>
          </w:rPr>
          <w:t>[4]</w:t>
        </w:r>
      </w:hyperlink>
      <w:r>
        <w:t>. Backup retention and encryption meet data integrity requirements. We integrate backups into our disaster recovery (DR) plan and update it whenever systems change.</w:t>
      </w:r>
    </w:p>
    <w:p w14:paraId="551D0336" w14:textId="77777777" w:rsidR="00BE5313" w:rsidRDefault="00000000">
      <w:pPr>
        <w:pStyle w:val="BodyText"/>
      </w:pPr>
      <w:r>
        <w:rPr>
          <w:b/>
          <w:bCs/>
        </w:rPr>
        <w:t>Disaster Recovery (DR) &amp; Business Continuity:</w:t>
      </w:r>
      <w:r>
        <w:t xml:space="preserve"> We maintain a documented DR strategy for lab/manufacturing infrastructure. This includes prioritized recovery sequences for systems and data, and alignment with the overall BCP. DR drills are conducted periodically to ensure we can recover operations within acceptable timeframes. The GxP framework requires planning for incidents, and indeed Inflectra’s GxP checklist emphasizes having “IT Disaster Recovery Plan focused on data governance” along with routine backup tests</w:t>
      </w:r>
      <w:hyperlink r:id="rId30" w:anchor=":~:text=,including%20periodic%20restoration%20checks">
        <w:r>
          <w:rPr>
            <w:rStyle w:val="Hyperlink"/>
          </w:rPr>
          <w:t>[4]</w:t>
        </w:r>
      </w:hyperlink>
      <w:r>
        <w:t>.</w:t>
      </w:r>
    </w:p>
    <w:p w14:paraId="551124C7" w14:textId="77777777" w:rsidR="00BE5313" w:rsidRDefault="00000000">
      <w:pPr>
        <w:pStyle w:val="BodyText"/>
      </w:pPr>
      <w:r>
        <w:t>For especially critical services, we configure high-availability (HA) clusters or replication. For example, database servers for LIMS/MES often use SQL Server Always-On or Oracle RAC to minimize downtime. This way, if one node fails, another can take over with little to no service interruption.</w:t>
      </w:r>
    </w:p>
    <w:p w14:paraId="0DBCD14B" w14:textId="77777777" w:rsidR="00BE5313" w:rsidRDefault="00000000">
      <w:pPr>
        <w:pStyle w:val="Heading2"/>
      </w:pPr>
      <w:bookmarkStart w:id="6" w:name="itsm-processes-automation"/>
      <w:bookmarkEnd w:id="5"/>
      <w:r>
        <w:t>ITSM Processes &amp; Automation</w:t>
      </w:r>
    </w:p>
    <w:p w14:paraId="1FB5EC69" w14:textId="77777777" w:rsidR="00BE5313" w:rsidRDefault="00000000">
      <w:pPr>
        <w:pStyle w:val="FirstParagraph"/>
      </w:pPr>
      <w:r>
        <w:t>All support activities are managed through IT Service Management (ITSM) tools (e.g. ServiceNow). We handle:</w:t>
      </w:r>
    </w:p>
    <w:p w14:paraId="213B3A89" w14:textId="77777777" w:rsidR="00BE5313" w:rsidRDefault="00000000">
      <w:pPr>
        <w:pStyle w:val="Compact"/>
        <w:numPr>
          <w:ilvl w:val="0"/>
          <w:numId w:val="5"/>
        </w:numPr>
      </w:pPr>
      <w:r>
        <w:rPr>
          <w:b/>
          <w:bCs/>
        </w:rPr>
        <w:t>Incident Management:</w:t>
      </w:r>
      <w:r>
        <w:t xml:space="preserve"> Ticketing for outages or errors (server down, service degraded). We follow escalation procedures and provide status updates to stakeholders.</w:t>
      </w:r>
    </w:p>
    <w:p w14:paraId="78414AB2" w14:textId="77777777" w:rsidR="00BE5313" w:rsidRDefault="00000000">
      <w:pPr>
        <w:pStyle w:val="Compact"/>
        <w:numPr>
          <w:ilvl w:val="0"/>
          <w:numId w:val="5"/>
        </w:numPr>
      </w:pPr>
      <w:r>
        <w:rPr>
          <w:b/>
          <w:bCs/>
        </w:rPr>
        <w:t>Change Management:</w:t>
      </w:r>
      <w:r>
        <w:t xml:space="preserve"> Any server patching, upgrades or deployments require formal Change Requests. We coordinate maintenance windows with affected labs/plants, and ensure QA approvals for GxP systems.</w:t>
      </w:r>
    </w:p>
    <w:p w14:paraId="7BDB7FF4" w14:textId="77777777" w:rsidR="00BE5313" w:rsidRDefault="00000000">
      <w:pPr>
        <w:pStyle w:val="Compact"/>
        <w:numPr>
          <w:ilvl w:val="0"/>
          <w:numId w:val="5"/>
        </w:numPr>
      </w:pPr>
      <w:r>
        <w:rPr>
          <w:b/>
          <w:bCs/>
        </w:rPr>
        <w:t>Problem/Root Cause:</w:t>
      </w:r>
      <w:r>
        <w:t xml:space="preserve"> Recurring issues (e.g. hardware faults, repeated service crashes) are analyzed for root cause, with corrective actions (hardware replacement, configuration tuning).</w:t>
      </w:r>
    </w:p>
    <w:p w14:paraId="2EC8A60F" w14:textId="77777777" w:rsidR="00BE5313" w:rsidRDefault="00000000">
      <w:pPr>
        <w:pStyle w:val="Compact"/>
        <w:numPr>
          <w:ilvl w:val="0"/>
          <w:numId w:val="5"/>
        </w:numPr>
      </w:pPr>
      <w:r>
        <w:rPr>
          <w:b/>
          <w:bCs/>
        </w:rPr>
        <w:t>Asset/Configuration Management:</w:t>
      </w:r>
      <w:r>
        <w:t xml:space="preserve"> We maintain a CMDB of all servers, OS levels, applications, and their validation status. This helps track software licenses and ensures audit readiness.</w:t>
      </w:r>
    </w:p>
    <w:p w14:paraId="62974F02" w14:textId="77777777" w:rsidR="00BE5313" w:rsidRDefault="00000000">
      <w:pPr>
        <w:pStyle w:val="Compact"/>
        <w:numPr>
          <w:ilvl w:val="0"/>
          <w:numId w:val="5"/>
        </w:numPr>
      </w:pPr>
      <w:r>
        <w:rPr>
          <w:b/>
          <w:bCs/>
        </w:rPr>
        <w:t>Automation:</w:t>
      </w:r>
      <w:r>
        <w:t xml:space="preserve"> Repetitive tasks (OS patching, provisioning, compliance scans) are automated where possible using tools like SCCM, Ansible or ServiceNow runbooks. These playbooks ensure consistency (e.g. automatically taking a snapshot before patching a VM).</w:t>
      </w:r>
    </w:p>
    <w:p w14:paraId="61BEFD74" w14:textId="77777777" w:rsidR="00BE5313" w:rsidRDefault="00000000">
      <w:pPr>
        <w:pStyle w:val="Heading2"/>
      </w:pPr>
      <w:bookmarkStart w:id="7" w:name="security-itot-segregation"/>
      <w:bookmarkEnd w:id="6"/>
      <w:r>
        <w:t>Security &amp; IT/OT Segregation</w:t>
      </w:r>
    </w:p>
    <w:p w14:paraId="770E4366" w14:textId="77777777" w:rsidR="00BE5313" w:rsidRDefault="00000000">
      <w:pPr>
        <w:pStyle w:val="FirstParagraph"/>
      </w:pPr>
      <w:r>
        <w:t xml:space="preserve">Security is paramount in regulated environments. We strictly enforce </w:t>
      </w:r>
      <w:r>
        <w:rPr>
          <w:b/>
          <w:bCs/>
        </w:rPr>
        <w:t>IT/OT network segregation</w:t>
      </w:r>
      <w:r>
        <w:t xml:space="preserve">. Typically, enterprise IT (office LAN), laboratory networks, and manufacturing/plant networks are on separate VLANs or firewalled zones. As one expert note puts it, “By isolating OT networks from corporate IT networks, organizations can limit the potential impact of a security breach. Implementing firewalls and access controls can </w:t>
      </w:r>
      <w:r>
        <w:lastRenderedPageBreak/>
        <w:t>further enhance this segmentation”</w:t>
      </w:r>
      <w:hyperlink r:id="rId31" w:anchor=":~:text=1.%20Micro,without%20modifying%20the%20actual%20system">
        <w:r>
          <w:rPr>
            <w:rStyle w:val="Hyperlink"/>
          </w:rPr>
          <w:t>[11]</w:t>
        </w:r>
      </w:hyperlink>
      <w:r>
        <w:t>. We follow IEC 62443 guidelines: define OT “zones and conduits” (e.g. separate zones for PLCs, SCADA, engineering, DMZ, IT) and allow only vetted traffic between them</w:t>
      </w:r>
      <w:hyperlink r:id="rId32" w:anchor=":~:text=5,Control">
        <w:r>
          <w:rPr>
            <w:rStyle w:val="Hyperlink"/>
          </w:rPr>
          <w:t>[13]</w:t>
        </w:r>
      </w:hyperlink>
      <w:hyperlink r:id="rId33" w:anchor=":~:text=8.%20Segment%20Legacy%20and%20Vendor,Systems">
        <w:r>
          <w:rPr>
            <w:rStyle w:val="Hyperlink"/>
          </w:rPr>
          <w:t>[12]</w:t>
        </w:r>
      </w:hyperlink>
      <w:r>
        <w:t>.</w:t>
      </w:r>
    </w:p>
    <w:p w14:paraId="793C8E59" w14:textId="77777777" w:rsidR="00BE5313" w:rsidRDefault="00000000">
      <w:pPr>
        <w:pStyle w:val="BodyText"/>
      </w:pPr>
      <w:r>
        <w:t>Server hardening is applied per corporate and industry standards: disabling unused services, enforcing least-privilege user accounts, using group policies to lock down configurations, and applying timely patches (after QA validation). Workstations that access lab/manufacturing systems also have EDR/antivirus and only reach the OT zone via approved jump hosts or VPNs. Critical controls include:</w:t>
      </w:r>
    </w:p>
    <w:p w14:paraId="232DD48F" w14:textId="77777777" w:rsidR="00BE5313" w:rsidRDefault="00000000">
      <w:pPr>
        <w:pStyle w:val="Compact"/>
        <w:numPr>
          <w:ilvl w:val="0"/>
          <w:numId w:val="6"/>
        </w:numPr>
      </w:pPr>
      <w:r>
        <w:t>Role-based access (RBAC) with strong passwords or multifactor authentication (MFA) for all user access, especially for e-signatures or approvals</w:t>
      </w:r>
      <w:hyperlink r:id="rId34" w:anchor=":~:text=,complete%2C%20consistent%2C%20enduring%2C%20available">
        <w:r>
          <w:rPr>
            <w:rStyle w:val="Hyperlink"/>
          </w:rPr>
          <w:t>[3]</w:t>
        </w:r>
      </w:hyperlink>
      <w:hyperlink r:id="rId35" w:anchor=":~:text=5,Control">
        <w:r>
          <w:rPr>
            <w:rStyle w:val="Hyperlink"/>
          </w:rPr>
          <w:t>[13]</w:t>
        </w:r>
      </w:hyperlink>
      <w:r>
        <w:t>.</w:t>
      </w:r>
    </w:p>
    <w:p w14:paraId="30403EE7" w14:textId="77777777" w:rsidR="00BE5313" w:rsidRDefault="00000000">
      <w:pPr>
        <w:pStyle w:val="Compact"/>
        <w:numPr>
          <w:ilvl w:val="0"/>
          <w:numId w:val="6"/>
        </w:numPr>
      </w:pPr>
      <w:r>
        <w:t>Encrypted communication (TLS/SSL) for all client-server traffic and database connections.</w:t>
      </w:r>
    </w:p>
    <w:p w14:paraId="2BB9EC4D" w14:textId="77777777" w:rsidR="00BE5313" w:rsidRDefault="00000000">
      <w:pPr>
        <w:pStyle w:val="Compact"/>
        <w:numPr>
          <w:ilvl w:val="0"/>
          <w:numId w:val="6"/>
        </w:numPr>
      </w:pPr>
      <w:r>
        <w:t>Continuous logging and SIEM monitoring: All servers forward security logs to a central system for anomaly detection and audit. Audit trails (system logs plus application logs) must be tamper-evident, satisfying 21 CFR 11 requirements</w:t>
      </w:r>
      <w:hyperlink r:id="rId36" w:anchor=":~:text=,complete%2C%20consistent%2C%20enduring%2C%20available">
        <w:r>
          <w:rPr>
            <w:rStyle w:val="Hyperlink"/>
          </w:rPr>
          <w:t>[3]</w:t>
        </w:r>
      </w:hyperlink>
      <w:r>
        <w:t>.</w:t>
      </w:r>
    </w:p>
    <w:p w14:paraId="16AB0B49" w14:textId="77777777" w:rsidR="00BE5313" w:rsidRDefault="00000000">
      <w:pPr>
        <w:pStyle w:val="Compact"/>
        <w:numPr>
          <w:ilvl w:val="0"/>
          <w:numId w:val="6"/>
        </w:numPr>
      </w:pPr>
      <w:r>
        <w:t>Regular vulnerability scanning on OT networks. When patches are not available (e.g. EOL OS), we rely on compensating controls (see above) and document the residual risk.</w:t>
      </w:r>
    </w:p>
    <w:p w14:paraId="3ADCA3AC" w14:textId="77777777" w:rsidR="00BE5313" w:rsidRDefault="00000000">
      <w:pPr>
        <w:pStyle w:val="FirstParagraph"/>
      </w:pPr>
      <w:r>
        <w:t xml:space="preserve">In short, we apply </w:t>
      </w:r>
      <w:r>
        <w:rPr>
          <w:b/>
          <w:bCs/>
        </w:rPr>
        <w:t>cybersecurity best practices</w:t>
      </w:r>
      <w:r>
        <w:t xml:space="preserve"> (server hardening, EDR, patch management, access control, segmentation) in line with corporate policy and GxP guidance. Vendor/vendor-supplied remote maintenance is allowed only via secured VPN jump boxes with auditing. Any policy exceptions (e.g. legacy device connectivity) are logged and justified in risk assessments.</w:t>
      </w:r>
    </w:p>
    <w:p w14:paraId="3D7FC125" w14:textId="77777777" w:rsidR="00BE5313" w:rsidRDefault="00000000">
      <w:pPr>
        <w:pStyle w:val="Heading2"/>
      </w:pPr>
      <w:bookmarkStart w:id="8" w:name="collaboration-support"/>
      <w:bookmarkEnd w:id="7"/>
      <w:r>
        <w:t>Collaboration &amp; Support</w:t>
      </w:r>
    </w:p>
    <w:p w14:paraId="6921831A" w14:textId="77777777" w:rsidR="00BE5313" w:rsidRDefault="00000000">
      <w:pPr>
        <w:pStyle w:val="FirstParagraph"/>
      </w:pPr>
      <w:r>
        <w:t>Our role is inherently collaborative. We coordinate with:</w:t>
      </w:r>
    </w:p>
    <w:p w14:paraId="45AF7468" w14:textId="77777777" w:rsidR="00BE5313" w:rsidRDefault="00000000">
      <w:pPr>
        <w:pStyle w:val="Compact"/>
        <w:numPr>
          <w:ilvl w:val="0"/>
          <w:numId w:val="7"/>
        </w:numPr>
      </w:pPr>
      <w:r>
        <w:rPr>
          <w:b/>
          <w:bCs/>
        </w:rPr>
        <w:t>Domain Administrators:</w:t>
      </w:r>
      <w:r>
        <w:t xml:space="preserve"> (e.g. AD, database, application SMEs) to configure accounts, permissions, and troubleshoot domain-related issues.</w:t>
      </w:r>
    </w:p>
    <w:p w14:paraId="77118C33" w14:textId="77777777" w:rsidR="00BE5313" w:rsidRDefault="00000000">
      <w:pPr>
        <w:pStyle w:val="Compact"/>
        <w:numPr>
          <w:ilvl w:val="0"/>
          <w:numId w:val="7"/>
        </w:numPr>
      </w:pPr>
      <w:r>
        <w:rPr>
          <w:b/>
          <w:bCs/>
        </w:rPr>
        <w:t>Networking Teams:</w:t>
      </w:r>
      <w:r>
        <w:t xml:space="preserve"> for VLAN/firewall changes, VPN setup, and ensuring each server’s network connectivity matches its required zone (e.g. separating LIMS traffic from corporate IT).</w:t>
      </w:r>
    </w:p>
    <w:p w14:paraId="773C793C" w14:textId="77777777" w:rsidR="00BE5313" w:rsidRDefault="00000000">
      <w:pPr>
        <w:pStyle w:val="Compact"/>
        <w:numPr>
          <w:ilvl w:val="0"/>
          <w:numId w:val="7"/>
        </w:numPr>
      </w:pPr>
      <w:r>
        <w:rPr>
          <w:b/>
          <w:bCs/>
        </w:rPr>
        <w:t>OT Engineers and Instrument Technicians:</w:t>
      </w:r>
      <w:r>
        <w:t xml:space="preserve"> to align on control network architectures; we often work side-by-side to make server changes at discrete maintenance windows. For example, on an MES update, an OT engineer may validate connectivity to PLCs after we patch the server.</w:t>
      </w:r>
    </w:p>
    <w:p w14:paraId="6603E49C" w14:textId="77777777" w:rsidR="00BE5313" w:rsidRDefault="00000000">
      <w:pPr>
        <w:pStyle w:val="Compact"/>
        <w:numPr>
          <w:ilvl w:val="0"/>
          <w:numId w:val="7"/>
        </w:numPr>
      </w:pPr>
      <w:r>
        <w:rPr>
          <w:b/>
          <w:bCs/>
        </w:rPr>
        <w:t>Vendors/OEMs:</w:t>
      </w:r>
      <w:r>
        <w:t xml:space="preserve"> We maintain support agreements and escalation paths for each critical system (e.g. LIMS vendor, MES vendor, OS vendor). When a server issue points to application software, we liaise with the vendor’s support to obtain fixes or updates (often under “break-fix” contracts or SaaS agreements). We log all vendor </w:t>
      </w:r>
      <w:r>
        <w:lastRenderedPageBreak/>
        <w:t>interactions and confirm that any third-party patches are incorporated into our validation process.</w:t>
      </w:r>
    </w:p>
    <w:p w14:paraId="3E663194" w14:textId="77777777" w:rsidR="00BE5313" w:rsidRDefault="00000000">
      <w:pPr>
        <w:pStyle w:val="Compact"/>
        <w:numPr>
          <w:ilvl w:val="0"/>
          <w:numId w:val="7"/>
        </w:numPr>
      </w:pPr>
      <w:r>
        <w:rPr>
          <w:b/>
          <w:bCs/>
        </w:rPr>
        <w:t>Quality/Cyber Teams:</w:t>
      </w:r>
      <w:r>
        <w:t xml:space="preserve"> For every change, we ensure SOP compliance and document results. We frequently assist during audits by retrieving server logs, providing architecture diagrams, and explaining how systems meet 21 CFR Part 11 and GxP requirements.</w:t>
      </w:r>
    </w:p>
    <w:p w14:paraId="7188CCBC" w14:textId="77777777" w:rsidR="00BE5313" w:rsidRDefault="00000000">
      <w:pPr>
        <w:pStyle w:val="FirstParagraph"/>
      </w:pPr>
      <w:r>
        <w:t>We also perform advanced troubleshooting: e.g. when a server-related incident impacts production, we lead root-cause analysis (examining system logs, network traces, performance metrics) and implement fixes (patches, config adjustments, hardware swaps). Lessons learned are fed back into our runbooks and preventive maintenance schedules.</w:t>
      </w:r>
    </w:p>
    <w:p w14:paraId="28233D90" w14:textId="77777777" w:rsidR="00BE5313" w:rsidRDefault="00000000">
      <w:pPr>
        <w:pStyle w:val="Heading2"/>
      </w:pPr>
      <w:bookmarkStart w:id="9" w:name="runbooks-vendor-coordination"/>
      <w:bookmarkEnd w:id="8"/>
      <w:r>
        <w:t>Runbooks &amp; Vendor Coordination</w:t>
      </w:r>
    </w:p>
    <w:p w14:paraId="6AFD7B20" w14:textId="77777777" w:rsidR="00BE5313" w:rsidRDefault="00000000">
      <w:pPr>
        <w:pStyle w:val="FirstParagraph"/>
      </w:pPr>
      <w:r>
        <w:t xml:space="preserve">To operate smoothly, we use </w:t>
      </w:r>
      <w:r>
        <w:rPr>
          <w:b/>
          <w:bCs/>
        </w:rPr>
        <w:t>IT operations runbooks (playbooks)</w:t>
      </w:r>
      <w:r>
        <w:t>. A runbook is a documented set of procedures for both routine and emergency tasks. It includes step-by-step instructions for tasks like restarting critical servers, restoring from backups, applying patches, and responding to alerts</w:t>
      </w:r>
      <w:hyperlink r:id="rId37" w:anchor=":~:text=An%20IT%20Operations%20Runbook%20is,the%20IT%20environment%20without%20guesswork">
        <w:r>
          <w:rPr>
            <w:rStyle w:val="Hyperlink"/>
          </w:rPr>
          <w:t>[14]</w:t>
        </w:r>
      </w:hyperlink>
      <w:r>
        <w:t>. For example, our LIMS runbook might detail exactly how to put the LIMS application into maintenance mode, apply a service pack, perform a database backup, and validate the service post-update.</w:t>
      </w:r>
    </w:p>
    <w:p w14:paraId="19697536" w14:textId="77777777" w:rsidR="00BE5313" w:rsidRDefault="00000000">
      <w:pPr>
        <w:pStyle w:val="BodyText"/>
      </w:pPr>
      <w:r>
        <w:t>Key components of our runbooks:</w:t>
      </w:r>
    </w:p>
    <w:p w14:paraId="7DC25262" w14:textId="77777777" w:rsidR="00BE5313" w:rsidRDefault="00000000">
      <w:pPr>
        <w:pStyle w:val="Compact"/>
        <w:numPr>
          <w:ilvl w:val="0"/>
          <w:numId w:val="8"/>
        </w:numPr>
      </w:pPr>
      <w:r>
        <w:rPr>
          <w:b/>
          <w:bCs/>
        </w:rPr>
        <w:t>Document Control:</w:t>
      </w:r>
      <w:r>
        <w:t xml:space="preserve"> Title, version, authors, approval and review dates</w:t>
      </w:r>
      <w:hyperlink r:id="rId38" w:anchor=":~:text=1">
        <w:r>
          <w:rPr>
            <w:rStyle w:val="Hyperlink"/>
          </w:rPr>
          <w:t>[15]</w:t>
        </w:r>
      </w:hyperlink>
      <w:r>
        <w:t>. (This ensures procedures are kept current.)</w:t>
      </w:r>
    </w:p>
    <w:p w14:paraId="22DF7B88" w14:textId="77777777" w:rsidR="00BE5313" w:rsidRDefault="00000000">
      <w:pPr>
        <w:pStyle w:val="Compact"/>
        <w:numPr>
          <w:ilvl w:val="0"/>
          <w:numId w:val="8"/>
        </w:numPr>
      </w:pPr>
      <w:r>
        <w:rPr>
          <w:b/>
          <w:bCs/>
        </w:rPr>
        <w:t>Scope &amp; Purpose:</w:t>
      </w:r>
      <w:r>
        <w:t xml:space="preserve"> Defines which systems/services are covered. E.g. “This runbook covers lab servers for LIMS, CDS, and instrument networks.”</w:t>
      </w:r>
    </w:p>
    <w:p w14:paraId="7292C2AE" w14:textId="77777777" w:rsidR="00BE5313" w:rsidRDefault="00000000">
      <w:pPr>
        <w:pStyle w:val="Compact"/>
        <w:numPr>
          <w:ilvl w:val="0"/>
          <w:numId w:val="8"/>
        </w:numPr>
      </w:pPr>
      <w:r>
        <w:rPr>
          <w:b/>
          <w:bCs/>
        </w:rPr>
        <w:t>Roles &amp; Responsibilities:</w:t>
      </w:r>
      <w:r>
        <w:t xml:space="preserve"> Lists who does what (e.g. “Server Admin – perform patching; QA – review log; OT Engineer – test instrument connectivity after patch”).</w:t>
      </w:r>
    </w:p>
    <w:p w14:paraId="034388D9" w14:textId="77777777" w:rsidR="00BE5313" w:rsidRDefault="00000000">
      <w:pPr>
        <w:pStyle w:val="Compact"/>
        <w:numPr>
          <w:ilvl w:val="0"/>
          <w:numId w:val="8"/>
        </w:numPr>
      </w:pPr>
      <w:r>
        <w:rPr>
          <w:b/>
          <w:bCs/>
        </w:rPr>
        <w:t>Step-by-Step Procedures:</w:t>
      </w:r>
      <w:r>
        <w:t xml:space="preserve"> Clear, numbered steps for common operations (server reboot, log collection, user account reset, etc). These often start with verification steps (check backups, notify users), include expected outcomes, and rollback plans.</w:t>
      </w:r>
    </w:p>
    <w:p w14:paraId="50E59538" w14:textId="77777777" w:rsidR="00BE5313" w:rsidRDefault="00000000">
      <w:pPr>
        <w:pStyle w:val="Compact"/>
        <w:numPr>
          <w:ilvl w:val="0"/>
          <w:numId w:val="8"/>
        </w:numPr>
      </w:pPr>
      <w:r>
        <w:rPr>
          <w:b/>
          <w:bCs/>
        </w:rPr>
        <w:t>Escalation Paths:</w:t>
      </w:r>
      <w:r>
        <w:t xml:space="preserve"> Who to contact (with phone/email) if an incident cannot be resolved at one tier. This includes vendor contacts with support phone numbers and RMA processes.</w:t>
      </w:r>
    </w:p>
    <w:p w14:paraId="129A5B84" w14:textId="77777777" w:rsidR="00BE5313" w:rsidRDefault="00000000">
      <w:pPr>
        <w:pStyle w:val="Compact"/>
        <w:numPr>
          <w:ilvl w:val="0"/>
          <w:numId w:val="8"/>
        </w:numPr>
      </w:pPr>
      <w:r>
        <w:rPr>
          <w:b/>
          <w:bCs/>
        </w:rPr>
        <w:t>Vendor Coordination:</w:t>
      </w:r>
      <w:r>
        <w:t xml:space="preserve"> For systems under vendor maintenance, runbooks note how and when to escalate to them. We track support ticket numbers and tie them to internal incidents. During upgrades, the vendor’s validation script or install guide is referenced.</w:t>
      </w:r>
    </w:p>
    <w:p w14:paraId="46B59D16" w14:textId="77777777" w:rsidR="00BE5313" w:rsidRDefault="00000000">
      <w:pPr>
        <w:pStyle w:val="Compact"/>
        <w:numPr>
          <w:ilvl w:val="0"/>
          <w:numId w:val="8"/>
        </w:numPr>
      </w:pPr>
      <w:r>
        <w:rPr>
          <w:b/>
          <w:bCs/>
        </w:rPr>
        <w:t>Checklists &amp; Logs:</w:t>
      </w:r>
      <w:r>
        <w:t xml:space="preserve"> After any action, we check off tasks (e.g. “Has the database backup completed? Y/N”) and append logs/screenshots as proof of execution. This is crucial for audits.</w:t>
      </w:r>
    </w:p>
    <w:p w14:paraId="40582F6E" w14:textId="77777777" w:rsidR="00BE5313" w:rsidRDefault="00000000">
      <w:pPr>
        <w:pStyle w:val="FirstParagraph"/>
      </w:pPr>
      <w:r>
        <w:lastRenderedPageBreak/>
        <w:t>Maintaining these runbooks (and the underlying CMDB) ensures we can provide consistent 2nd/3rd line support. As one ITSM guide puts it, a runbook “gives your team exact points of reference about what steps should be taken to operate the IT environment without guesswork”</w:t>
      </w:r>
      <w:hyperlink r:id="rId39" w:anchor=":~:text=An%20IT%20Operations%20Runbook%20is,the%20IT%20environment%20without%20guesswork">
        <w:r>
          <w:rPr>
            <w:rStyle w:val="Hyperlink"/>
          </w:rPr>
          <w:t>[14]</w:t>
        </w:r>
      </w:hyperlink>
      <w:r>
        <w:t>.</w:t>
      </w:r>
    </w:p>
    <w:p w14:paraId="12207205" w14:textId="77777777" w:rsidR="00BE5313" w:rsidRDefault="00000000">
      <w:pPr>
        <w:pStyle w:val="BodyText"/>
      </w:pPr>
      <w:r>
        <w:t>By combining thorough documentation (runbooks, change records, validation files) with proactive monitoring and strong communication, we ensure that the lab and manufacturing infrastructure remains secure, compliant, and continuously available.</w:t>
      </w:r>
    </w:p>
    <w:p w14:paraId="01C2E23E" w14:textId="77777777" w:rsidR="00BE5313" w:rsidRDefault="00000000">
      <w:pPr>
        <w:pStyle w:val="BodyText"/>
      </w:pPr>
      <w:r>
        <w:rPr>
          <w:b/>
          <w:bCs/>
        </w:rPr>
        <w:t>Sources:</w:t>
      </w:r>
      <w:r>
        <w:t xml:space="preserve"> Official vendor guides and industry best practices for LIMS/MES architecture</w:t>
      </w:r>
      <w:hyperlink r:id="rId40" w:anchor=":~:text=Whichever%20solution%20you%20choose%2C%20Illumina,as%20routers%2C%20firewalls%2C%20and%20switches">
        <w:r>
          <w:rPr>
            <w:rStyle w:val="Hyperlink"/>
          </w:rPr>
          <w:t>[1]</w:t>
        </w:r>
      </w:hyperlink>
      <w:hyperlink r:id="rId41" w:anchor=":~:text=%E2%80%A2%20WAN%20bandwidth%20and%20latency%3A,and">
        <w:r>
          <w:rPr>
            <w:rStyle w:val="Hyperlink"/>
          </w:rPr>
          <w:t>[6]</w:t>
        </w:r>
      </w:hyperlink>
      <w:r>
        <w:t>; legacy system security resources</w:t>
      </w:r>
      <w:hyperlink r:id="rId42" w:anchor=":~:text=The%20hardware%20problem">
        <w:r>
          <w:rPr>
            <w:rStyle w:val="Hyperlink"/>
          </w:rPr>
          <w:t>[8]</w:t>
        </w:r>
      </w:hyperlink>
      <w:hyperlink r:id="rId43" w:anchor=":~:text=1.%20Micro,without%20modifying%20the%20actual%20system">
        <w:r>
          <w:rPr>
            <w:rStyle w:val="Hyperlink"/>
          </w:rPr>
          <w:t>[11]</w:t>
        </w:r>
      </w:hyperlink>
      <w:r>
        <w:t>; OSIsoft PI documentation for historian HA</w:t>
      </w:r>
      <w:hyperlink r:id="rId44" w:anchor=":~:text=Built,Support%20more%20or%20specialized%20users">
        <w:r>
          <w:rPr>
            <w:rStyle w:val="Hyperlink"/>
          </w:rPr>
          <w:t>[10]</w:t>
        </w:r>
      </w:hyperlink>
      <w:r>
        <w:t>; GxP/21 CFR 11 compliance checklists</w:t>
      </w:r>
      <w:hyperlink r:id="rId45" w:anchor=":~:text=,complete%2C%20consistent%2C%20enduring%2C%20available">
        <w:r>
          <w:rPr>
            <w:rStyle w:val="Hyperlink"/>
          </w:rPr>
          <w:t>[3]</w:t>
        </w:r>
      </w:hyperlink>
      <w:hyperlink r:id="rId46" w:anchor=":~:text=Electronic%20records%20%26%20audit%20trail">
        <w:r>
          <w:rPr>
            <w:rStyle w:val="Hyperlink"/>
          </w:rPr>
          <w:t>[16]</w:t>
        </w:r>
      </w:hyperlink>
      <w:r>
        <w:t>; IT operations runbook templates</w:t>
      </w:r>
      <w:hyperlink r:id="rId47" w:anchor=":~:text=An%20IT%20Operations%20Runbook%20is,the%20IT%20environment%20without%20guesswork">
        <w:r>
          <w:rPr>
            <w:rStyle w:val="Hyperlink"/>
          </w:rPr>
          <w:t>[14]</w:t>
        </w:r>
      </w:hyperlink>
      <w:r>
        <w:t>.</w:t>
      </w:r>
    </w:p>
    <w:bookmarkEnd w:id="1"/>
    <w:bookmarkEnd w:id="2"/>
    <w:bookmarkEnd w:id="9"/>
    <w:p w14:paraId="2C6E0F62" w14:textId="77777777" w:rsidR="00BE5313" w:rsidRDefault="00000000">
      <w:r>
        <w:pict w14:anchorId="1DAC4AE3">
          <v:rect id="_x0000_i1025" style="width:0;height:1.5pt" o:hralign="center" o:hrstd="t" o:hr="t"/>
        </w:pict>
      </w:r>
    </w:p>
    <w:bookmarkStart w:id="10" w:name="citations"/>
    <w:p w14:paraId="1550F88D" w14:textId="77777777" w:rsidR="00BE5313" w:rsidRDefault="00000000">
      <w:pPr>
        <w:pStyle w:val="FirstParagraph"/>
      </w:pPr>
      <w:r>
        <w:fldChar w:fldCharType="begin"/>
      </w:r>
      <w:r>
        <w:instrText>HYPERLINK "https://support-docs.illumina.com/SW/ClarityLIMS/ClarityCore_v6/Content/SW/ClarityLIMS/TechnicalOverview_swCL_v6.htm" \l ":~:text=Whichever%20solution%20you%20choose%2C%20Illumina,as%20routers%2C%20firewalls%2C%20and%20switches" \h</w:instrText>
      </w:r>
      <w:r>
        <w:fldChar w:fldCharType="separate"/>
      </w:r>
      <w:r>
        <w:rPr>
          <w:rStyle w:val="Hyperlink"/>
        </w:rPr>
        <w:t>[1]</w:t>
      </w:r>
      <w:r>
        <w:fldChar w:fldCharType="end"/>
      </w:r>
      <w:r>
        <w:t xml:space="preserve"> </w:t>
      </w:r>
      <w:hyperlink r:id="rId48" w:anchor=":~:text=Database%20and%20File%20Server">
        <w:r>
          <w:rPr>
            <w:rStyle w:val="Hyperlink"/>
          </w:rPr>
          <w:t>[2]</w:t>
        </w:r>
      </w:hyperlink>
      <w:r>
        <w:t xml:space="preserve"> Technical Overview</w:t>
      </w:r>
    </w:p>
    <w:p w14:paraId="5E5BEA73" w14:textId="77777777" w:rsidR="00BE5313" w:rsidRDefault="00000000">
      <w:pPr>
        <w:pStyle w:val="BodyText"/>
      </w:pPr>
      <w:hyperlink r:id="rId49">
        <w:r>
          <w:rPr>
            <w:rStyle w:val="Hyperlink"/>
          </w:rPr>
          <w:t>https://support-docs.illumina.com/SW/ClarityLIMS/ClarityCore_v6/Content/SW/ClarityLIMS/TechnicalOverview_swCL_v6.htm</w:t>
        </w:r>
      </w:hyperlink>
    </w:p>
    <w:p w14:paraId="073E2495" w14:textId="77777777" w:rsidR="00BE5313" w:rsidRDefault="00000000">
      <w:pPr>
        <w:pStyle w:val="BodyText"/>
      </w:pPr>
      <w:hyperlink r:id="rId50" w:anchor=":~:text=,complete%2C%20consistent%2C%20enduring%2C%20available">
        <w:r>
          <w:rPr>
            <w:rStyle w:val="Hyperlink"/>
          </w:rPr>
          <w:t>[3]</w:t>
        </w:r>
      </w:hyperlink>
      <w:r>
        <w:t xml:space="preserve"> </w:t>
      </w:r>
      <w:hyperlink r:id="rId51" w:anchor=":~:text=,including%20periodic%20restoration%20checks">
        <w:r>
          <w:rPr>
            <w:rStyle w:val="Hyperlink"/>
          </w:rPr>
          <w:t>[4]</w:t>
        </w:r>
      </w:hyperlink>
      <w:r>
        <w:t xml:space="preserve"> </w:t>
      </w:r>
      <w:hyperlink r:id="rId52" w:anchor=":~:text=">
        <w:r>
          <w:rPr>
            <w:rStyle w:val="Hyperlink"/>
          </w:rPr>
          <w:t>[5]</w:t>
        </w:r>
      </w:hyperlink>
      <w:r>
        <w:t xml:space="preserve">  GxP Compliance Checklist (&amp; What is GxP Compliance?) | Infle </w:t>
      </w:r>
    </w:p>
    <w:p w14:paraId="760E23B2" w14:textId="77777777" w:rsidR="00BE5313" w:rsidRDefault="00000000">
      <w:pPr>
        <w:pStyle w:val="BodyText"/>
      </w:pPr>
      <w:hyperlink r:id="rId53">
        <w:r>
          <w:rPr>
            <w:rStyle w:val="Hyperlink"/>
          </w:rPr>
          <w:t>https://www.inflectra.com/Ideas/Topic/GxP-Compliance-Checklist.aspx</w:t>
        </w:r>
      </w:hyperlink>
    </w:p>
    <w:p w14:paraId="177C4D04" w14:textId="77777777" w:rsidR="00BE5313" w:rsidRDefault="00000000">
      <w:pPr>
        <w:pStyle w:val="BodyText"/>
      </w:pPr>
      <w:hyperlink r:id="rId54" w:anchor=":~:text=%E2%80%A2%20WAN%20bandwidth%20and%20latency%3A,and">
        <w:r>
          <w:rPr>
            <w:rStyle w:val="Hyperlink"/>
          </w:rPr>
          <w:t>[6]</w:t>
        </w:r>
      </w:hyperlink>
      <w:r>
        <w:t xml:space="preserve"> </w:t>
      </w:r>
      <w:hyperlink r:id="rId55" w:anchor=":~:text=%E2%80%A2%20Server%20load%3A%20Depending%20on,then%20one%20server">
        <w:r>
          <w:rPr>
            <w:rStyle w:val="Hyperlink"/>
          </w:rPr>
          <w:t>[7]</w:t>
        </w:r>
      </w:hyperlink>
      <w:r>
        <w:t xml:space="preserve"> docs.sepasoft.com</w:t>
      </w:r>
    </w:p>
    <w:p w14:paraId="16A354EB" w14:textId="77777777" w:rsidR="00BE5313" w:rsidRDefault="00000000">
      <w:pPr>
        <w:pStyle w:val="BodyText"/>
      </w:pPr>
      <w:hyperlink r:id="rId56">
        <w:r>
          <w:rPr>
            <w:rStyle w:val="Hyperlink"/>
          </w:rPr>
          <w:t>https://docs.sepasoft.com/resources/Storage/user-manual/MES%2BServer%2BSizing%2Band%2BArchitecture%2BGuide%2BV6.pdf</w:t>
        </w:r>
      </w:hyperlink>
    </w:p>
    <w:p w14:paraId="12FD7345" w14:textId="77777777" w:rsidR="00BE5313" w:rsidRDefault="00000000">
      <w:pPr>
        <w:pStyle w:val="BodyText"/>
      </w:pPr>
      <w:hyperlink r:id="rId57" w:anchor=":~:text=The%20hardware%20problem">
        <w:r>
          <w:rPr>
            <w:rStyle w:val="Hyperlink"/>
          </w:rPr>
          <w:t>[8]</w:t>
        </w:r>
      </w:hyperlink>
      <w:r>
        <w:t xml:space="preserve"> </w:t>
      </w:r>
      <w:hyperlink r:id="rId58" w:anchor=":~:text=The%20certification%20problem">
        <w:r>
          <w:rPr>
            <w:rStyle w:val="Hyperlink"/>
          </w:rPr>
          <w:t>[9]</w:t>
        </w:r>
      </w:hyperlink>
      <w:r>
        <w:t xml:space="preserve"> The case for not ripping and replacing: Securing Win32 infrastructure in place | NXLog Blog</w:t>
      </w:r>
    </w:p>
    <w:p w14:paraId="203BE4E0" w14:textId="77777777" w:rsidR="00BE5313" w:rsidRDefault="00000000">
      <w:pPr>
        <w:pStyle w:val="BodyText"/>
      </w:pPr>
      <w:hyperlink r:id="rId59">
        <w:r>
          <w:rPr>
            <w:rStyle w:val="Hyperlink"/>
          </w:rPr>
          <w:t>https://nxlog.co/news-and-blog/posts/securing-legacy-windows-in-place</w:t>
        </w:r>
      </w:hyperlink>
    </w:p>
    <w:p w14:paraId="34C831CE" w14:textId="77777777" w:rsidR="00BE5313" w:rsidRDefault="00000000">
      <w:pPr>
        <w:pStyle w:val="BodyText"/>
      </w:pPr>
      <w:hyperlink r:id="rId60" w:anchor=":~:text=Built,Support%20more%20or%20specialized%20users">
        <w:r>
          <w:rPr>
            <w:rStyle w:val="Hyperlink"/>
          </w:rPr>
          <w:t>[10]</w:t>
        </w:r>
      </w:hyperlink>
      <w:r>
        <w:t xml:space="preserve"> RS2010_Rome_Architecture_Best_Practices_Batke.pptx</w:t>
      </w:r>
    </w:p>
    <w:p w14:paraId="7F2B69CC" w14:textId="77777777" w:rsidR="00BE5313" w:rsidRDefault="00000000">
      <w:pPr>
        <w:pStyle w:val="BodyText"/>
      </w:pPr>
      <w:hyperlink r:id="rId61">
        <w:r>
          <w:rPr>
            <w:rStyle w:val="Hyperlink"/>
          </w:rPr>
          <w:t>https://cdn.osisoft.com/corp/en/media/presentations/2010/RegionalSeminars/Rome/PDF/RS2010_Rome_Architecture_Best_Practices_Batke.pdf</w:t>
        </w:r>
      </w:hyperlink>
    </w:p>
    <w:p w14:paraId="3F86BFA1" w14:textId="77777777" w:rsidR="00BE5313" w:rsidRDefault="00000000">
      <w:pPr>
        <w:pStyle w:val="BodyText"/>
      </w:pPr>
      <w:hyperlink r:id="rId62" w:anchor=":~:text=1.%20Micro,without%20modifying%20the%20actual%20system">
        <w:r>
          <w:rPr>
            <w:rStyle w:val="Hyperlink"/>
          </w:rPr>
          <w:t>[11]</w:t>
        </w:r>
      </w:hyperlink>
      <w:r>
        <w:t xml:space="preserve"> Legacy Windows Systems in OT Environments: A Persistent Security Challenge | TXOne Networks</w:t>
      </w:r>
    </w:p>
    <w:p w14:paraId="2F725B88" w14:textId="77777777" w:rsidR="00BE5313" w:rsidRDefault="00000000">
      <w:pPr>
        <w:pStyle w:val="BodyText"/>
      </w:pPr>
      <w:hyperlink r:id="rId63">
        <w:r>
          <w:rPr>
            <w:rStyle w:val="Hyperlink"/>
          </w:rPr>
          <w:t>https://www.txone.com/resources/blog/legacy-windows-systems-in-ot-environments/</w:t>
        </w:r>
      </w:hyperlink>
    </w:p>
    <w:p w14:paraId="512E344A" w14:textId="77777777" w:rsidR="00BE5313" w:rsidRDefault="00000000">
      <w:pPr>
        <w:pStyle w:val="BodyText"/>
      </w:pPr>
      <w:hyperlink r:id="rId64" w:anchor=":~:text=8.%20Segment%20Legacy%20and%20Vendor,Systems">
        <w:r>
          <w:rPr>
            <w:rStyle w:val="Hyperlink"/>
          </w:rPr>
          <w:t>[12]</w:t>
        </w:r>
      </w:hyperlink>
      <w:r>
        <w:t xml:space="preserve"> </w:t>
      </w:r>
      <w:hyperlink r:id="rId65" w:anchor=":~:text=5,Control">
        <w:r>
          <w:rPr>
            <w:rStyle w:val="Hyperlink"/>
          </w:rPr>
          <w:t>[13]</w:t>
        </w:r>
      </w:hyperlink>
      <w:r>
        <w:t xml:space="preserve"> Best Practices for Segmenting OT Networks and Securing Industrial Zones</w:t>
      </w:r>
    </w:p>
    <w:p w14:paraId="7498EA73" w14:textId="77777777" w:rsidR="00BE5313" w:rsidRDefault="00000000">
      <w:pPr>
        <w:pStyle w:val="BodyText"/>
      </w:pPr>
      <w:hyperlink r:id="rId66">
        <w:r>
          <w:rPr>
            <w:rStyle w:val="Hyperlink"/>
          </w:rPr>
          <w:t>https://shieldworkz.com/blogs/best-practices-for-segmenting-ot-networks-and-securing-industrial-zones</w:t>
        </w:r>
      </w:hyperlink>
    </w:p>
    <w:p w14:paraId="29672960" w14:textId="77777777" w:rsidR="00BE5313" w:rsidRDefault="00000000">
      <w:pPr>
        <w:pStyle w:val="BodyText"/>
      </w:pPr>
      <w:hyperlink r:id="rId67" w:anchor=":~:text=An%20IT%20Operations%20Runbook%20is,the%20IT%20environment%20without%20guesswork">
        <w:r>
          <w:rPr>
            <w:rStyle w:val="Hyperlink"/>
          </w:rPr>
          <w:t>[14]</w:t>
        </w:r>
      </w:hyperlink>
      <w:r>
        <w:t xml:space="preserve"> </w:t>
      </w:r>
      <w:hyperlink r:id="rId68" w:anchor=":~:text=1">
        <w:r>
          <w:rPr>
            <w:rStyle w:val="Hyperlink"/>
          </w:rPr>
          <w:t>[15]</w:t>
        </w:r>
      </w:hyperlink>
      <w:r>
        <w:t xml:space="preserve"> IT Operations Runbook Template: Step-by-Step Guide for Smooth IT Manag – ITSM Docs - ITSM Documents &amp; Templates </w:t>
      </w:r>
    </w:p>
    <w:p w14:paraId="75AB1B6B" w14:textId="77777777" w:rsidR="00BE5313" w:rsidRDefault="00000000">
      <w:pPr>
        <w:pStyle w:val="BodyText"/>
      </w:pPr>
      <w:hyperlink r:id="rId69">
        <w:r>
          <w:rPr>
            <w:rStyle w:val="Hyperlink"/>
          </w:rPr>
          <w:t>https://www.itsm-docs.com/blogs/it-operations-playbook/it-operations-runbook-template-step-by-step-guide-for-smooth-it-management</w:t>
        </w:r>
      </w:hyperlink>
    </w:p>
    <w:p w14:paraId="4047C604" w14:textId="77777777" w:rsidR="00BE5313" w:rsidRDefault="00000000">
      <w:pPr>
        <w:pStyle w:val="BodyText"/>
      </w:pPr>
      <w:hyperlink r:id="rId70" w:anchor=":~:text=Electronic%20records%20%26%20audit%20trail">
        <w:r>
          <w:rPr>
            <w:rStyle w:val="Hyperlink"/>
          </w:rPr>
          <w:t>[16]</w:t>
        </w:r>
      </w:hyperlink>
      <w:r>
        <w:t xml:space="preserve"> 21 CFR Part 11: Requirements, Audit Trail &amp; Implementation</w:t>
      </w:r>
    </w:p>
    <w:p w14:paraId="1C8461E5" w14:textId="77777777" w:rsidR="00BE5313" w:rsidRDefault="00000000">
      <w:pPr>
        <w:pStyle w:val="BodyText"/>
      </w:pPr>
      <w:hyperlink r:id="rId71">
        <w:r>
          <w:rPr>
            <w:rStyle w:val="Hyperlink"/>
          </w:rPr>
          <w:t>https://www.yaveon.com/en/insights/article-21-cfr-part-11/</w:t>
        </w:r>
      </w:hyperlink>
      <w:bookmarkEnd w:id="10"/>
    </w:p>
    <w:sectPr w:rsidR="00BE53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E870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D4DB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50499873">
    <w:abstractNumId w:val="0"/>
  </w:num>
  <w:num w:numId="2" w16cid:durableId="1249341079">
    <w:abstractNumId w:val="1"/>
  </w:num>
  <w:num w:numId="3" w16cid:durableId="265961407">
    <w:abstractNumId w:val="1"/>
  </w:num>
  <w:num w:numId="4" w16cid:durableId="1661275577">
    <w:abstractNumId w:val="1"/>
  </w:num>
  <w:num w:numId="5" w16cid:durableId="1085226110">
    <w:abstractNumId w:val="1"/>
  </w:num>
  <w:num w:numId="6" w16cid:durableId="2081751668">
    <w:abstractNumId w:val="1"/>
  </w:num>
  <w:num w:numId="7" w16cid:durableId="352997467">
    <w:abstractNumId w:val="1"/>
  </w:num>
  <w:num w:numId="8" w16cid:durableId="97841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E5313"/>
    <w:rsid w:val="007A4FD1"/>
    <w:rsid w:val="00B20A2A"/>
    <w:rsid w:val="00BE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A4E2"/>
  <w15:docId w15:val="{1B4D7286-F1B6-4F4D-9757-CB8C37F3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epasoft.com/resources/Storage/user-manual/MES%2BServer%2BSizing%2Band%2BArchitecture%2BGuide%2BV6.pdf" TargetMode="External"/><Relationship Id="rId18" Type="http://schemas.openxmlformats.org/officeDocument/2006/relationships/hyperlink" Target="https://cdn.osisoft.com/corp/en/media/presentations/2010/RegionalSeminars/Rome/PDF/RS2010_Rome_Architecture_Best_Practices_Batke.pdf" TargetMode="External"/><Relationship Id="rId26" Type="http://schemas.openxmlformats.org/officeDocument/2006/relationships/hyperlink" Target="https://www.txone.com/resources/blog/legacy-windows-systems-in-ot-environments/" TargetMode="External"/><Relationship Id="rId39" Type="http://schemas.openxmlformats.org/officeDocument/2006/relationships/hyperlink" Target="https://www.itsm-docs.com/blogs/it-operations-playbook/it-operations-runbook-template-step-by-step-guide-for-smooth-it-management" TargetMode="External"/><Relationship Id="rId21" Type="http://schemas.openxmlformats.org/officeDocument/2006/relationships/hyperlink" Target="https://nxlog.co/news-and-blog/posts/securing-legacy-windows-in-place" TargetMode="External"/><Relationship Id="rId34" Type="http://schemas.openxmlformats.org/officeDocument/2006/relationships/hyperlink" Target="https://www.inflectra.com/Ideas/Topic/GxP-Compliance-Checklist.aspx" TargetMode="External"/><Relationship Id="rId42" Type="http://schemas.openxmlformats.org/officeDocument/2006/relationships/hyperlink" Target="https://nxlog.co/news-and-blog/posts/securing-legacy-windows-in-place" TargetMode="External"/><Relationship Id="rId47" Type="http://schemas.openxmlformats.org/officeDocument/2006/relationships/hyperlink" Target="https://www.itsm-docs.com/blogs/it-operations-playbook/it-operations-runbook-template-step-by-step-guide-for-smooth-it-management" TargetMode="External"/><Relationship Id="rId50" Type="http://schemas.openxmlformats.org/officeDocument/2006/relationships/hyperlink" Target="https://www.inflectra.com/Ideas/Topic/GxP-Compliance-Checklist.aspx" TargetMode="External"/><Relationship Id="rId55" Type="http://schemas.openxmlformats.org/officeDocument/2006/relationships/hyperlink" Target="https://docs.sepasoft.com/resources/Storage/user-manual/MES%2BServer%2BSizing%2Band%2BArchitecture%2BGuide%2BV6.pdf" TargetMode="External"/><Relationship Id="rId63" Type="http://schemas.openxmlformats.org/officeDocument/2006/relationships/hyperlink" Target="https://www.txone.com/resources/blog/legacy-windows-systems-in-ot-environments/" TargetMode="External"/><Relationship Id="rId68" Type="http://schemas.openxmlformats.org/officeDocument/2006/relationships/hyperlink" Target="https://www.itsm-docs.com/blogs/it-operations-playbook/it-operations-runbook-template-step-by-step-guide-for-smooth-it-management" TargetMode="External"/><Relationship Id="rId7" Type="http://schemas.openxmlformats.org/officeDocument/2006/relationships/hyperlink" Target="https://support-docs.illumina.com/SW/ClarityLIMS/ClarityCore_v6/Content/SW/ClarityLIMS/TechnicalOverview_swCL_v6.htm" TargetMode="External"/><Relationship Id="rId71" Type="http://schemas.openxmlformats.org/officeDocument/2006/relationships/hyperlink" Target="https://www.yaveon.com/en/insights/article-21-cfr-part-11/" TargetMode="External"/><Relationship Id="rId2" Type="http://schemas.openxmlformats.org/officeDocument/2006/relationships/styles" Target="styles.xml"/><Relationship Id="rId16" Type="http://schemas.openxmlformats.org/officeDocument/2006/relationships/hyperlink" Target="https://nxlog.co/news-and-blog/posts/securing-legacy-windows-in-place" TargetMode="External"/><Relationship Id="rId29" Type="http://schemas.openxmlformats.org/officeDocument/2006/relationships/hyperlink" Target="https://www.inflectra.com/Ideas/Topic/GxP-Compliance-Checklist.aspx" TargetMode="External"/><Relationship Id="rId11" Type="http://schemas.openxmlformats.org/officeDocument/2006/relationships/hyperlink" Target="https://www.inflectra.com/Ideas/Topic/GxP-Compliance-Checklist.aspx" TargetMode="External"/><Relationship Id="rId24" Type="http://schemas.openxmlformats.org/officeDocument/2006/relationships/hyperlink" Target="https://shieldworkz.com/blogs/best-practices-for-segmenting-ot-networks-and-securing-industrial-zones" TargetMode="External"/><Relationship Id="rId32" Type="http://schemas.openxmlformats.org/officeDocument/2006/relationships/hyperlink" Target="https://shieldworkz.com/blogs/best-practices-for-segmenting-ot-networks-and-securing-industrial-zones" TargetMode="External"/><Relationship Id="rId37" Type="http://schemas.openxmlformats.org/officeDocument/2006/relationships/hyperlink" Target="https://www.itsm-docs.com/blogs/it-operations-playbook/it-operations-runbook-template-step-by-step-guide-for-smooth-it-management" TargetMode="External"/><Relationship Id="rId40" Type="http://schemas.openxmlformats.org/officeDocument/2006/relationships/hyperlink" Target="https://support-docs.illumina.com/SW/ClarityLIMS/ClarityCore_v6/Content/SW/ClarityLIMS/TechnicalOverview_swCL_v6.htm" TargetMode="External"/><Relationship Id="rId45" Type="http://schemas.openxmlformats.org/officeDocument/2006/relationships/hyperlink" Target="https://www.inflectra.com/Ideas/Topic/GxP-Compliance-Checklist.aspx" TargetMode="External"/><Relationship Id="rId53" Type="http://schemas.openxmlformats.org/officeDocument/2006/relationships/hyperlink" Target="https://www.inflectra.com/Ideas/Topic/GxP-Compliance-Checklist.aspx" TargetMode="External"/><Relationship Id="rId58" Type="http://schemas.openxmlformats.org/officeDocument/2006/relationships/hyperlink" Target="https://nxlog.co/news-and-blog/posts/securing-legacy-windows-in-place" TargetMode="External"/><Relationship Id="rId66" Type="http://schemas.openxmlformats.org/officeDocument/2006/relationships/hyperlink" Target="https://shieldworkz.com/blogs/best-practices-for-segmenting-ot-networks-and-securing-industrial-zones" TargetMode="External"/><Relationship Id="rId5" Type="http://schemas.openxmlformats.org/officeDocument/2006/relationships/hyperlink" Target="https://support-docs.illumina.com/SW/ClarityLIMS/ClarityCore_v6/Content/SW/ClarityLIMS/TechnicalOverview_swCL_v6.htm" TargetMode="External"/><Relationship Id="rId15" Type="http://schemas.openxmlformats.org/officeDocument/2006/relationships/hyperlink" Target="https://nxlog.co/news-and-blog/posts/securing-legacy-windows-in-place" TargetMode="External"/><Relationship Id="rId23" Type="http://schemas.openxmlformats.org/officeDocument/2006/relationships/hyperlink" Target="https://www.txone.com/resources/blog/legacy-windows-systems-in-ot-environments/" TargetMode="External"/><Relationship Id="rId28" Type="http://schemas.openxmlformats.org/officeDocument/2006/relationships/hyperlink" Target="https://www.txone.com/resources/blog/legacy-windows-systems-in-ot-environments/" TargetMode="External"/><Relationship Id="rId36" Type="http://schemas.openxmlformats.org/officeDocument/2006/relationships/hyperlink" Target="https://www.inflectra.com/Ideas/Topic/GxP-Compliance-Checklist.aspx" TargetMode="External"/><Relationship Id="rId49" Type="http://schemas.openxmlformats.org/officeDocument/2006/relationships/hyperlink" Target="https://support-docs.illumina.com/SW/ClarityLIMS/ClarityCore_v6/Content/SW/ClarityLIMS/TechnicalOverview_swCL_v6.htm" TargetMode="External"/><Relationship Id="rId57" Type="http://schemas.openxmlformats.org/officeDocument/2006/relationships/hyperlink" Target="https://nxlog.co/news-and-blog/posts/securing-legacy-windows-in-place" TargetMode="External"/><Relationship Id="rId61" Type="http://schemas.openxmlformats.org/officeDocument/2006/relationships/hyperlink" Target="https://cdn.osisoft.com/corp/en/media/presentations/2010/RegionalSeminars/Rome/PDF/RS2010_Rome_Architecture_Best_Practices_Batke.pdf" TargetMode="External"/><Relationship Id="rId10" Type="http://schemas.openxmlformats.org/officeDocument/2006/relationships/hyperlink" Target="https://www.inflectra.com/Ideas/Topic/GxP-Compliance-Checklist.aspx" TargetMode="External"/><Relationship Id="rId19" Type="http://schemas.openxmlformats.org/officeDocument/2006/relationships/hyperlink" Target="https://nxlog.co/news-and-blog/posts/securing-legacy-windows-in-place" TargetMode="External"/><Relationship Id="rId31" Type="http://schemas.openxmlformats.org/officeDocument/2006/relationships/hyperlink" Target="https://www.txone.com/resources/blog/legacy-windows-systems-in-ot-environments/" TargetMode="External"/><Relationship Id="rId44" Type="http://schemas.openxmlformats.org/officeDocument/2006/relationships/hyperlink" Target="https://cdn.osisoft.com/corp/en/media/presentations/2010/RegionalSeminars/Rome/PDF/RS2010_Rome_Architecture_Best_Practices_Batke.pdf" TargetMode="External"/><Relationship Id="rId52" Type="http://schemas.openxmlformats.org/officeDocument/2006/relationships/hyperlink" Target="https://www.inflectra.com/Ideas/Topic/GxP-Compliance-Checklist.aspx" TargetMode="External"/><Relationship Id="rId60" Type="http://schemas.openxmlformats.org/officeDocument/2006/relationships/hyperlink" Target="https://cdn.osisoft.com/corp/en/media/presentations/2010/RegionalSeminars/Rome/PDF/RS2010_Rome_Architecture_Best_Practices_Batke.pdf" TargetMode="External"/><Relationship Id="rId65" Type="http://schemas.openxmlformats.org/officeDocument/2006/relationships/hyperlink" Target="https://shieldworkz.com/blogs/best-practices-for-segmenting-ot-networks-and-securing-industrial-zones"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flectra.com/Ideas/Topic/GxP-Compliance-Checklist.aspx" TargetMode="External"/><Relationship Id="rId14" Type="http://schemas.openxmlformats.org/officeDocument/2006/relationships/hyperlink" Target="https://docs.sepasoft.com/resources/Storage/user-manual/MES%2BServer%2BSizing%2Band%2BArchitecture%2BGuide%2BV6.pdf" TargetMode="External"/><Relationship Id="rId22" Type="http://schemas.openxmlformats.org/officeDocument/2006/relationships/hyperlink" Target="https://nxlog.co/news-and-blog/posts/securing-legacy-windows-in-place" TargetMode="External"/><Relationship Id="rId27" Type="http://schemas.openxmlformats.org/officeDocument/2006/relationships/hyperlink" Target="https://nxlog.co/news-and-blog/posts/securing-legacy-windows-in-place" TargetMode="External"/><Relationship Id="rId30" Type="http://schemas.openxmlformats.org/officeDocument/2006/relationships/hyperlink" Target="https://www.inflectra.com/Ideas/Topic/GxP-Compliance-Checklist.aspx" TargetMode="External"/><Relationship Id="rId35" Type="http://schemas.openxmlformats.org/officeDocument/2006/relationships/hyperlink" Target="https://shieldworkz.com/blogs/best-practices-for-segmenting-ot-networks-and-securing-industrial-zones" TargetMode="External"/><Relationship Id="rId43" Type="http://schemas.openxmlformats.org/officeDocument/2006/relationships/hyperlink" Target="https://www.txone.com/resources/blog/legacy-windows-systems-in-ot-environments/" TargetMode="External"/><Relationship Id="rId48" Type="http://schemas.openxmlformats.org/officeDocument/2006/relationships/hyperlink" Target="https://support-docs.illumina.com/SW/ClarityLIMS/ClarityCore_v6/Content/SW/ClarityLIMS/TechnicalOverview_swCL_v6.htm" TargetMode="External"/><Relationship Id="rId56" Type="http://schemas.openxmlformats.org/officeDocument/2006/relationships/hyperlink" Target="https://docs.sepasoft.com/resources/Storage/user-manual/MES%2BServer%2BSizing%2Band%2BArchitecture%2BGuide%2BV6.pdf" TargetMode="External"/><Relationship Id="rId64" Type="http://schemas.openxmlformats.org/officeDocument/2006/relationships/hyperlink" Target="https://shieldworkz.com/blogs/best-practices-for-segmenting-ot-networks-and-securing-industrial-zones" TargetMode="External"/><Relationship Id="rId69" Type="http://schemas.openxmlformats.org/officeDocument/2006/relationships/hyperlink" Target="https://www.itsm-docs.com/blogs/it-operations-playbook/it-operations-runbook-template-step-by-step-guide-for-smooth-it-management" TargetMode="External"/><Relationship Id="rId8" Type="http://schemas.openxmlformats.org/officeDocument/2006/relationships/hyperlink" Target="https://support-docs.illumina.com/SW/ClarityLIMS/ClarityCore_v6/Content/SW/ClarityLIMS/TechnicalOverview_swCL_v6.htm" TargetMode="External"/><Relationship Id="rId51" Type="http://schemas.openxmlformats.org/officeDocument/2006/relationships/hyperlink" Target="https://www.inflectra.com/Ideas/Topic/GxP-Compliance-Checklist.aspx"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cs.sepasoft.com/resources/Storage/user-manual/MES%2BServer%2BSizing%2Band%2BArchitecture%2BGuide%2BV6.pdf" TargetMode="External"/><Relationship Id="rId17" Type="http://schemas.openxmlformats.org/officeDocument/2006/relationships/hyperlink" Target="https://cdn.osisoft.com/corp/en/media/presentations/2010/RegionalSeminars/Rome/PDF/RS2010_Rome_Architecture_Best_Practices_Batke.pdf" TargetMode="External"/><Relationship Id="rId25" Type="http://schemas.openxmlformats.org/officeDocument/2006/relationships/hyperlink" Target="https://www.txone.com/resources/blog/legacy-windows-systems-in-ot-environments/" TargetMode="External"/><Relationship Id="rId33" Type="http://schemas.openxmlformats.org/officeDocument/2006/relationships/hyperlink" Target="https://shieldworkz.com/blogs/best-practices-for-segmenting-ot-networks-and-securing-industrial-zones" TargetMode="External"/><Relationship Id="rId38" Type="http://schemas.openxmlformats.org/officeDocument/2006/relationships/hyperlink" Target="https://www.itsm-docs.com/blogs/it-operations-playbook/it-operations-runbook-template-step-by-step-guide-for-smooth-it-management" TargetMode="External"/><Relationship Id="rId46" Type="http://schemas.openxmlformats.org/officeDocument/2006/relationships/hyperlink" Target="https://www.yaveon.com/en/insights/article-21-cfr-part-11/" TargetMode="External"/><Relationship Id="rId59" Type="http://schemas.openxmlformats.org/officeDocument/2006/relationships/hyperlink" Target="https://nxlog.co/news-and-blog/posts/securing-legacy-windows-in-place" TargetMode="External"/><Relationship Id="rId67" Type="http://schemas.openxmlformats.org/officeDocument/2006/relationships/hyperlink" Target="https://www.itsm-docs.com/blogs/it-operations-playbook/it-operations-runbook-template-step-by-step-guide-for-smooth-it-management" TargetMode="External"/><Relationship Id="rId20" Type="http://schemas.openxmlformats.org/officeDocument/2006/relationships/hyperlink" Target="https://nxlog.co/news-and-blog/posts/securing-legacy-windows-in-place" TargetMode="External"/><Relationship Id="rId41" Type="http://schemas.openxmlformats.org/officeDocument/2006/relationships/hyperlink" Target="https://docs.sepasoft.com/resources/Storage/user-manual/MES%2BServer%2BSizing%2Band%2BArchitecture%2BGuide%2BV6.pdf" TargetMode="External"/><Relationship Id="rId54" Type="http://schemas.openxmlformats.org/officeDocument/2006/relationships/hyperlink" Target="https://docs.sepasoft.com/resources/Storage/user-manual/MES%2BServer%2BSizing%2Band%2BArchitecture%2BGuide%2BV6.pdf" TargetMode="External"/><Relationship Id="rId62" Type="http://schemas.openxmlformats.org/officeDocument/2006/relationships/hyperlink" Target="https://www.txone.com/resources/blog/legacy-windows-systems-in-ot-environments/" TargetMode="External"/><Relationship Id="rId70" Type="http://schemas.openxmlformats.org/officeDocument/2006/relationships/hyperlink" Target="https://www.yaveon.com/en/insights/article-21-cfr-part-11/" TargetMode="External"/><Relationship Id="rId1" Type="http://schemas.openxmlformats.org/officeDocument/2006/relationships/numbering" Target="numbering.xml"/><Relationship Id="rId6" Type="http://schemas.openxmlformats.org/officeDocument/2006/relationships/hyperlink" Target="https://support-docs.illumina.com/SW/ClarityLIMS/ClarityCore_v6/Content/SW/ClarityLIMS/TechnicalOverview_swCL_v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4454</Words>
  <Characters>25388</Characters>
  <Application>Microsoft Office Word</Application>
  <DocSecurity>0</DocSecurity>
  <Lines>211</Lines>
  <Paragraphs>59</Paragraphs>
  <ScaleCrop>false</ScaleCrop>
  <Company/>
  <LinksUpToDate>false</LinksUpToDate>
  <CharactersWithSpaces>29783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Manikanta Suru</cp:lastModifiedBy>
  <cp:revision>3</cp:revision>
  <dcterms:created xsi:type="dcterms:W3CDTF">2026-04-24T17:04:00Z</dcterms:created>
  <dcterms:modified xsi:type="dcterms:W3CDTF">2026-04-25T05:12:00Z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MSIP_Label_ed96aa77-7762-4c34-b9f0-7d6a55545bbc_Enabled">
    <vt:lpwstr>true</vt:lpwstr>
  </property>
  <property fmtid="{D5CDD505-2E9C-101B-9397-08002B2CF9AE}" pid="4" name="MSIP_Label_ed96aa77-7762-4c34-b9f0-7d6a55545bbc_SetDate">
    <vt:lpwstr>2026-04-25T05:11:11Z</vt:lpwstr>
  </property>
  <property fmtid="{D5CDD505-2E9C-101B-9397-08002B2CF9AE}" pid="5" name="MSIP_Label_ed96aa77-7762-4c34-b9f0-7d6a55545bbc_Method">
    <vt:lpwstr>Privileged</vt:lpwstr>
  </property>
  <property fmtid="{D5CDD505-2E9C-101B-9397-08002B2CF9AE}" pid="6" name="MSIP_Label_ed96aa77-7762-4c34-b9f0-7d6a55545bbc_Name">
    <vt:lpwstr>Proprietary</vt:lpwstr>
  </property>
  <property fmtid="{D5CDD505-2E9C-101B-9397-08002B2CF9AE}" pid="7" name="MSIP_Label_ed96aa77-7762-4c34-b9f0-7d6a55545bbc_SiteId">
    <vt:lpwstr>b7dcea4e-d150-4ba1-8b2a-c8b27a75525c</vt:lpwstr>
  </property>
  <property fmtid="{D5CDD505-2E9C-101B-9397-08002B2CF9AE}" pid="8" name="MSIP_Label_ed96aa77-7762-4c34-b9f0-7d6a55545bbc_ActionId">
    <vt:lpwstr>845b6ec8-9cea-4536-9e3e-2b89114fa464</vt:lpwstr>
  </property>
  <property fmtid="{D5CDD505-2E9C-101B-9397-08002B2CF9AE}" pid="9" name="MSIP_Label_ed96aa77-7762-4c34-b9f0-7d6a55545bbc_ContentBits">
    <vt:lpwstr>0</vt:lpwstr>
  </property>
  <property fmtid="{D5CDD505-2E9C-101B-9397-08002B2CF9AE}" pid="10" name="MSIP_Label_ed96aa77-7762-4c34-b9f0-7d6a55545bbc_Tag">
    <vt:lpwstr>10, 0, 1, 1</vt:lpwstr>
  </property>
</Properties>
</file>