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FBAD" w14:textId="43334E7A" w:rsidR="007E3BA0" w:rsidRDefault="007E3BA0" w:rsidP="007E3BA0">
      <w:pPr>
        <w:jc w:val="center"/>
        <w:rPr>
          <w:rFonts w:ascii="Times New Roman" w:hAnsi="Times New Roman" w:cs="Times New Roman"/>
          <w:b/>
          <w:bCs/>
          <w:sz w:val="48"/>
          <w:szCs w:val="48"/>
        </w:rPr>
      </w:pPr>
      <w:r w:rsidRPr="007E3BA0">
        <w:rPr>
          <w:rFonts w:ascii="Times New Roman" w:hAnsi="Times New Roman" w:cs="Times New Roman"/>
          <w:b/>
          <w:bCs/>
          <w:sz w:val="48"/>
          <w:szCs w:val="48"/>
        </w:rPr>
        <w:t>BLUESTOCK MUTUAL FUND ANALYTICS PLATFORM</w:t>
      </w:r>
    </w:p>
    <w:p w14:paraId="21F12F1A" w14:textId="1CF74C9D" w:rsidR="007E3BA0" w:rsidRPr="007E3BA0" w:rsidRDefault="007E3BA0" w:rsidP="007E3BA0">
      <w:pPr>
        <w:jc w:val="center"/>
        <w:rPr>
          <w:rFonts w:ascii="Times New Roman" w:hAnsi="Times New Roman" w:cs="Times New Roman"/>
          <w:b/>
          <w:bCs/>
          <w:sz w:val="28"/>
          <w:szCs w:val="28"/>
        </w:rPr>
      </w:pPr>
      <w:r w:rsidRPr="007E3BA0">
        <w:rPr>
          <w:rFonts w:ascii="Times New Roman" w:hAnsi="Times New Roman" w:cs="Times New Roman"/>
          <w:b/>
          <w:bCs/>
          <w:sz w:val="28"/>
          <w:szCs w:val="28"/>
        </w:rPr>
        <w:t xml:space="preserve">• </w:t>
      </w:r>
      <w:proofErr w:type="spellStart"/>
      <w:r w:rsidRPr="007E3BA0">
        <w:rPr>
          <w:rFonts w:ascii="Times New Roman" w:hAnsi="Times New Roman" w:cs="Times New Roman"/>
          <w:b/>
          <w:bCs/>
          <w:sz w:val="28"/>
          <w:szCs w:val="28"/>
        </w:rPr>
        <w:t>BlueStock</w:t>
      </w:r>
      <w:proofErr w:type="spellEnd"/>
      <w:r w:rsidRPr="007E3BA0">
        <w:rPr>
          <w:rFonts w:ascii="Times New Roman" w:hAnsi="Times New Roman" w:cs="Times New Roman"/>
          <w:b/>
          <w:bCs/>
          <w:sz w:val="28"/>
          <w:szCs w:val="28"/>
        </w:rPr>
        <w:t xml:space="preserve"> Fintech •</w:t>
      </w:r>
      <w:r w:rsidRPr="007E3BA0">
        <w:rPr>
          <w:rFonts w:ascii="Times New Roman" w:hAnsi="Times New Roman" w:cs="Times New Roman"/>
          <w:b/>
          <w:bCs/>
          <w:sz w:val="28"/>
          <w:szCs w:val="28"/>
        </w:rPr>
        <w:br/>
      </w:r>
    </w:p>
    <w:p w14:paraId="04982388" w14:textId="77777777" w:rsidR="007E3BA0" w:rsidRDefault="007E3BA0" w:rsidP="007E3BA0">
      <w:pPr>
        <w:jc w:val="center"/>
        <w:rPr>
          <w:rFonts w:ascii="Times New Roman" w:hAnsi="Times New Roman" w:cs="Times New Roman"/>
          <w:b/>
          <w:bCs/>
        </w:rPr>
      </w:pPr>
    </w:p>
    <w:p w14:paraId="2461EA73" w14:textId="23E4F755" w:rsidR="007E3BA0" w:rsidRPr="007E3BA0" w:rsidRDefault="007E3BA0" w:rsidP="007E3BA0">
      <w:pPr>
        <w:rPr>
          <w:rFonts w:ascii="Times New Roman" w:hAnsi="Times New Roman" w:cs="Times New Roman"/>
          <w:sz w:val="32"/>
          <w:szCs w:val="32"/>
        </w:rPr>
      </w:pPr>
      <w:r w:rsidRPr="007E3BA0">
        <w:rPr>
          <w:rFonts w:ascii="Times New Roman" w:hAnsi="Times New Roman" w:cs="Times New Roman"/>
          <w:b/>
          <w:bCs/>
          <w:sz w:val="32"/>
          <w:szCs w:val="32"/>
        </w:rPr>
        <w:t>Comprehensive Capstone Project Report</w:t>
      </w:r>
    </w:p>
    <w:p w14:paraId="5B6C0602" w14:textId="4403FE49" w:rsidR="007E3BA0" w:rsidRDefault="007E3BA0" w:rsidP="007E3BA0">
      <w:pPr>
        <w:rPr>
          <w:rFonts w:ascii="Times New Roman" w:hAnsi="Times New Roman" w:cs="Times New Roman"/>
        </w:rPr>
      </w:pPr>
      <w:r w:rsidRPr="007E3BA0">
        <w:rPr>
          <w:rFonts w:ascii="Times New Roman" w:hAnsi="Times New Roman" w:cs="Times New Roman"/>
          <w:b/>
          <w:bCs/>
        </w:rPr>
        <w:t>Prepared by:</w:t>
      </w:r>
      <w:r w:rsidRPr="007E3BA0">
        <w:rPr>
          <w:rFonts w:ascii="Times New Roman" w:hAnsi="Times New Roman" w:cs="Times New Roman"/>
        </w:rPr>
        <w:t xml:space="preserve"> Hashmil Muhammed | </w:t>
      </w:r>
      <w:r>
        <w:rPr>
          <w:rFonts w:ascii="Times New Roman" w:hAnsi="Times New Roman" w:cs="Times New Roman"/>
        </w:rPr>
        <w:t>Data Analyst</w:t>
      </w:r>
      <w:r w:rsidRPr="007E3BA0">
        <w:rPr>
          <w:rFonts w:ascii="Times New Roman" w:hAnsi="Times New Roman" w:cs="Times New Roman"/>
        </w:rPr>
        <w:t xml:space="preserve"> </w:t>
      </w:r>
      <w:r>
        <w:rPr>
          <w:rFonts w:ascii="Times New Roman" w:hAnsi="Times New Roman" w:cs="Times New Roman"/>
        </w:rPr>
        <w:br/>
      </w:r>
      <w:r w:rsidRPr="007E3BA0">
        <w:rPr>
          <w:rFonts w:ascii="Times New Roman" w:hAnsi="Times New Roman" w:cs="Times New Roman"/>
          <w:b/>
          <w:bCs/>
        </w:rPr>
        <w:t>Contact:</w:t>
      </w:r>
      <w:r w:rsidRPr="007E3BA0">
        <w:rPr>
          <w:rFonts w:ascii="Times New Roman" w:hAnsi="Times New Roman" w:cs="Times New Roman"/>
        </w:rPr>
        <w:t xml:space="preserve"> hashmilmuhammedparammal@gmail.com </w:t>
      </w:r>
      <w:r>
        <w:rPr>
          <w:rFonts w:ascii="Times New Roman" w:hAnsi="Times New Roman" w:cs="Times New Roman"/>
        </w:rPr>
        <w:br/>
      </w:r>
      <w:r w:rsidRPr="007E3BA0">
        <w:rPr>
          <w:rFonts w:ascii="Times New Roman" w:hAnsi="Times New Roman" w:cs="Times New Roman"/>
          <w:b/>
          <w:bCs/>
        </w:rPr>
        <w:t>Date:</w:t>
      </w:r>
      <w:r w:rsidRPr="007E3BA0">
        <w:rPr>
          <w:rFonts w:ascii="Times New Roman" w:hAnsi="Times New Roman" w:cs="Times New Roman"/>
        </w:rPr>
        <w:t xml:space="preserve"> </w:t>
      </w:r>
      <w:r>
        <w:rPr>
          <w:rFonts w:ascii="Times New Roman" w:hAnsi="Times New Roman" w:cs="Times New Roman"/>
        </w:rPr>
        <w:t xml:space="preserve">10 </w:t>
      </w:r>
      <w:r w:rsidRPr="007E3BA0">
        <w:rPr>
          <w:rFonts w:ascii="Times New Roman" w:hAnsi="Times New Roman" w:cs="Times New Roman"/>
        </w:rPr>
        <w:t>June 2026</w:t>
      </w:r>
    </w:p>
    <w:p w14:paraId="212B403B" w14:textId="77777777" w:rsidR="007E3BA0" w:rsidRPr="007E3BA0" w:rsidRDefault="007E3BA0" w:rsidP="007E3BA0">
      <w:pPr>
        <w:rPr>
          <w:rFonts w:ascii="Times New Roman" w:hAnsi="Times New Roman" w:cs="Times New Roman"/>
        </w:rPr>
      </w:pPr>
    </w:p>
    <w:p w14:paraId="5A2F5876" w14:textId="77777777" w:rsidR="007E3BA0" w:rsidRPr="007E3BA0" w:rsidRDefault="007E3BA0" w:rsidP="007E3BA0">
      <w:pPr>
        <w:rPr>
          <w:rFonts w:ascii="Times New Roman" w:hAnsi="Times New Roman" w:cs="Times New Roman"/>
          <w:b/>
          <w:bCs/>
          <w:sz w:val="32"/>
          <w:szCs w:val="32"/>
        </w:rPr>
      </w:pPr>
      <w:r w:rsidRPr="007E3BA0">
        <w:rPr>
          <w:rFonts w:ascii="Times New Roman" w:hAnsi="Times New Roman" w:cs="Times New Roman"/>
          <w:b/>
          <w:bCs/>
          <w:sz w:val="32"/>
          <w:szCs w:val="32"/>
        </w:rPr>
        <w:t>1. Executive Summary</w:t>
      </w:r>
    </w:p>
    <w:p w14:paraId="6561899F" w14:textId="77777777" w:rsidR="007E3BA0" w:rsidRPr="007E3BA0" w:rsidRDefault="007E3BA0" w:rsidP="007E3BA0">
      <w:pPr>
        <w:jc w:val="both"/>
        <w:rPr>
          <w:rFonts w:ascii="Times New Roman" w:hAnsi="Times New Roman" w:cs="Times New Roman"/>
        </w:rPr>
      </w:pPr>
      <w:r w:rsidRPr="007E3BA0">
        <w:rPr>
          <w:rFonts w:ascii="Times New Roman" w:hAnsi="Times New Roman" w:cs="Times New Roman"/>
        </w:rPr>
        <w:t>The mutual fund industry in India is experiencing unprecedented growth, characterized by record-breaking Assets Under Management (AUM) and a massive surge in Systematic Investment Plans (SIPs). However, the fragmentation of data across various platforms makes it challenging for retail investors and financial institutions to derive actionable, risk-adjusted insights.</w:t>
      </w:r>
    </w:p>
    <w:p w14:paraId="69E98209" w14:textId="77777777" w:rsidR="007E3BA0" w:rsidRDefault="007E3BA0" w:rsidP="007E3BA0">
      <w:pPr>
        <w:jc w:val="both"/>
        <w:rPr>
          <w:rFonts w:ascii="Times New Roman" w:hAnsi="Times New Roman" w:cs="Times New Roman"/>
        </w:rPr>
      </w:pPr>
      <w:r w:rsidRPr="007E3BA0">
        <w:rPr>
          <w:rFonts w:ascii="Times New Roman" w:hAnsi="Times New Roman" w:cs="Times New Roman"/>
        </w:rPr>
        <w:t>This project successfully addresses this gap by developing an end-to-end data engineering and analytics pipeline. Over the course of the project, over 87,000 transaction records and 4.5 years of daily Net Asset Value (NAV) data were ingested, cleaned, and structured into a robust SQL data warehouse. Advanced quantitative metrics—including the Sharpe Ratio, Value at Risk (</w:t>
      </w:r>
      <w:proofErr w:type="spellStart"/>
      <w:r w:rsidRPr="007E3BA0">
        <w:rPr>
          <w:rFonts w:ascii="Times New Roman" w:hAnsi="Times New Roman" w:cs="Times New Roman"/>
        </w:rPr>
        <w:t>VaR</w:t>
      </w:r>
      <w:proofErr w:type="spellEnd"/>
      <w:r w:rsidRPr="007E3BA0">
        <w:rPr>
          <w:rFonts w:ascii="Times New Roman" w:hAnsi="Times New Roman" w:cs="Times New Roman"/>
        </w:rPr>
        <w:t>), and Herfindahl-Hirschman Index (HHI)—were calculated to assess fund performance and sector concentration. Finally, a dynamic Power BI dashboard and a Python-based Recommender System were deployed to translate these complex metrics into intuitive business intelligence.</w:t>
      </w:r>
    </w:p>
    <w:p w14:paraId="039EE6B5" w14:textId="77777777" w:rsidR="007E3BA0" w:rsidRPr="007E3BA0" w:rsidRDefault="007E3BA0" w:rsidP="007E3BA0">
      <w:pPr>
        <w:jc w:val="both"/>
        <w:rPr>
          <w:rFonts w:ascii="Times New Roman" w:hAnsi="Times New Roman" w:cs="Times New Roman"/>
        </w:rPr>
      </w:pPr>
    </w:p>
    <w:p w14:paraId="3E2E74FA" w14:textId="77777777" w:rsidR="007E3BA0" w:rsidRPr="007E3BA0" w:rsidRDefault="007E3BA0" w:rsidP="007E3BA0">
      <w:pPr>
        <w:rPr>
          <w:rFonts w:ascii="Times New Roman" w:hAnsi="Times New Roman" w:cs="Times New Roman"/>
          <w:b/>
          <w:bCs/>
          <w:sz w:val="32"/>
          <w:szCs w:val="32"/>
        </w:rPr>
      </w:pPr>
      <w:r w:rsidRPr="007E3BA0">
        <w:rPr>
          <w:rFonts w:ascii="Times New Roman" w:hAnsi="Times New Roman" w:cs="Times New Roman"/>
          <w:b/>
          <w:bCs/>
          <w:sz w:val="32"/>
          <w:szCs w:val="32"/>
        </w:rPr>
        <w:t>2. Data Description &amp; ETL Architecture</w:t>
      </w:r>
    </w:p>
    <w:p w14:paraId="174A6F44" w14:textId="77777777" w:rsidR="007E3BA0" w:rsidRPr="007E3BA0" w:rsidRDefault="007E3BA0" w:rsidP="007E3BA0">
      <w:pPr>
        <w:rPr>
          <w:rFonts w:ascii="Times New Roman" w:hAnsi="Times New Roman" w:cs="Times New Roman"/>
          <w:b/>
          <w:bCs/>
          <w:sz w:val="28"/>
          <w:szCs w:val="28"/>
        </w:rPr>
      </w:pPr>
      <w:r w:rsidRPr="007E3BA0">
        <w:rPr>
          <w:rFonts w:ascii="Times New Roman" w:hAnsi="Times New Roman" w:cs="Times New Roman"/>
          <w:b/>
          <w:bCs/>
          <w:sz w:val="28"/>
          <w:szCs w:val="28"/>
        </w:rPr>
        <w:t>2.1 Data Sourcing</w:t>
      </w:r>
    </w:p>
    <w:p w14:paraId="1D9B5261" w14:textId="77777777" w:rsidR="007E3BA0" w:rsidRPr="007E3BA0" w:rsidRDefault="007E3BA0" w:rsidP="007E3BA0">
      <w:pPr>
        <w:rPr>
          <w:rFonts w:ascii="Times New Roman" w:hAnsi="Times New Roman" w:cs="Times New Roman"/>
        </w:rPr>
      </w:pPr>
      <w:r w:rsidRPr="007E3BA0">
        <w:rPr>
          <w:rFonts w:ascii="Times New Roman" w:hAnsi="Times New Roman" w:cs="Times New Roman"/>
        </w:rPr>
        <w:t>The project utilized a hybrid data ingestion strategy:</w:t>
      </w:r>
    </w:p>
    <w:p w14:paraId="6AB4226F" w14:textId="77777777" w:rsidR="007E3BA0" w:rsidRPr="007E3BA0" w:rsidRDefault="007E3BA0" w:rsidP="007E3BA0">
      <w:pPr>
        <w:numPr>
          <w:ilvl w:val="0"/>
          <w:numId w:val="1"/>
        </w:numPr>
        <w:jc w:val="both"/>
        <w:rPr>
          <w:rFonts w:ascii="Times New Roman" w:hAnsi="Times New Roman" w:cs="Times New Roman"/>
        </w:rPr>
      </w:pPr>
      <w:r w:rsidRPr="007E3BA0">
        <w:rPr>
          <w:rFonts w:ascii="Times New Roman" w:hAnsi="Times New Roman" w:cs="Times New Roman"/>
          <w:b/>
          <w:bCs/>
        </w:rPr>
        <w:t>Static Data:</w:t>
      </w:r>
      <w:r w:rsidRPr="007E3BA0">
        <w:rPr>
          <w:rFonts w:ascii="Times New Roman" w:hAnsi="Times New Roman" w:cs="Times New Roman"/>
        </w:rPr>
        <w:t xml:space="preserve"> Provided by AMFI India, consisting of 10 interconnected CSV files detailing fund masters, historical NAVs, SIP inflows, portfolio holdings, and transaction logs.</w:t>
      </w:r>
    </w:p>
    <w:p w14:paraId="1B99FC4E" w14:textId="77777777" w:rsidR="007E3BA0" w:rsidRPr="007E3BA0" w:rsidRDefault="007E3BA0" w:rsidP="007E3BA0">
      <w:pPr>
        <w:numPr>
          <w:ilvl w:val="0"/>
          <w:numId w:val="1"/>
        </w:numPr>
        <w:jc w:val="both"/>
        <w:rPr>
          <w:rFonts w:ascii="Times New Roman" w:hAnsi="Times New Roman" w:cs="Times New Roman"/>
        </w:rPr>
      </w:pPr>
      <w:r w:rsidRPr="007E3BA0">
        <w:rPr>
          <w:rFonts w:ascii="Times New Roman" w:hAnsi="Times New Roman" w:cs="Times New Roman"/>
          <w:b/>
          <w:bCs/>
        </w:rPr>
        <w:lastRenderedPageBreak/>
        <w:t>Dynamic Data:</w:t>
      </w:r>
      <w:r w:rsidRPr="007E3BA0">
        <w:rPr>
          <w:rFonts w:ascii="Times New Roman" w:hAnsi="Times New Roman" w:cs="Times New Roman"/>
        </w:rPr>
        <w:t xml:space="preserve"> A custom Python script (live_nav_fetch.py) was engineered to interface with the public mfapi.in REST API, fetching real-time NAV data for six critical benchmark blue-chip funds to ensure the dataset remains current.</w:t>
      </w:r>
    </w:p>
    <w:p w14:paraId="7D70F919" w14:textId="77777777" w:rsidR="007E3BA0" w:rsidRPr="007E3BA0" w:rsidRDefault="007E3BA0" w:rsidP="007E3BA0">
      <w:pPr>
        <w:rPr>
          <w:rFonts w:ascii="Times New Roman" w:hAnsi="Times New Roman" w:cs="Times New Roman"/>
          <w:b/>
          <w:bCs/>
          <w:sz w:val="32"/>
          <w:szCs w:val="32"/>
        </w:rPr>
      </w:pPr>
      <w:r w:rsidRPr="007E3BA0">
        <w:rPr>
          <w:rFonts w:ascii="Times New Roman" w:hAnsi="Times New Roman" w:cs="Times New Roman"/>
          <w:b/>
          <w:bCs/>
          <w:sz w:val="32"/>
          <w:szCs w:val="32"/>
        </w:rPr>
        <w:t>2.2 ETL Pipeline &amp; Database Design</w:t>
      </w:r>
    </w:p>
    <w:p w14:paraId="72114032" w14:textId="77777777" w:rsidR="007E3BA0" w:rsidRPr="007E3BA0" w:rsidRDefault="007E3BA0" w:rsidP="007E3BA0">
      <w:pPr>
        <w:numPr>
          <w:ilvl w:val="0"/>
          <w:numId w:val="2"/>
        </w:numPr>
        <w:jc w:val="both"/>
        <w:rPr>
          <w:rFonts w:ascii="Times New Roman" w:hAnsi="Times New Roman" w:cs="Times New Roman"/>
        </w:rPr>
      </w:pPr>
      <w:r w:rsidRPr="007E3BA0">
        <w:rPr>
          <w:rFonts w:ascii="Times New Roman" w:hAnsi="Times New Roman" w:cs="Times New Roman"/>
          <w:b/>
          <w:bCs/>
        </w:rPr>
        <w:t>Extraction &amp; Transformation:</w:t>
      </w:r>
      <w:r w:rsidRPr="007E3BA0">
        <w:rPr>
          <w:rFonts w:ascii="Times New Roman" w:hAnsi="Times New Roman" w:cs="Times New Roman"/>
        </w:rPr>
        <w:t xml:space="preserve"> Utilizing the </w:t>
      </w:r>
      <w:proofErr w:type="gramStart"/>
      <w:r w:rsidRPr="007E3BA0">
        <w:rPr>
          <w:rFonts w:ascii="Times New Roman" w:hAnsi="Times New Roman" w:cs="Times New Roman"/>
        </w:rPr>
        <w:t>pandas</w:t>
      </w:r>
      <w:proofErr w:type="gramEnd"/>
      <w:r w:rsidRPr="007E3BA0">
        <w:rPr>
          <w:rFonts w:ascii="Times New Roman" w:hAnsi="Times New Roman" w:cs="Times New Roman"/>
        </w:rPr>
        <w:t xml:space="preserve"> library, missing NAV values during weekends and market holidays were handled using forward-fill (</w:t>
      </w:r>
      <w:proofErr w:type="spellStart"/>
      <w:r w:rsidRPr="007E3BA0">
        <w:rPr>
          <w:rFonts w:ascii="Times New Roman" w:hAnsi="Times New Roman" w:cs="Times New Roman"/>
        </w:rPr>
        <w:t>ffill</w:t>
      </w:r>
      <w:proofErr w:type="spellEnd"/>
      <w:r w:rsidRPr="007E3BA0">
        <w:rPr>
          <w:rFonts w:ascii="Times New Roman" w:hAnsi="Times New Roman" w:cs="Times New Roman"/>
        </w:rPr>
        <w:t>) logic. Date formats were standardized, and duplicate records were purged.</w:t>
      </w:r>
    </w:p>
    <w:p w14:paraId="1AD8B1C8" w14:textId="77777777" w:rsidR="007E3BA0" w:rsidRDefault="007E3BA0" w:rsidP="007E3BA0">
      <w:pPr>
        <w:numPr>
          <w:ilvl w:val="0"/>
          <w:numId w:val="2"/>
        </w:numPr>
        <w:jc w:val="both"/>
        <w:rPr>
          <w:rFonts w:ascii="Times New Roman" w:hAnsi="Times New Roman" w:cs="Times New Roman"/>
        </w:rPr>
      </w:pPr>
      <w:r w:rsidRPr="007E3BA0">
        <w:rPr>
          <w:rFonts w:ascii="Times New Roman" w:hAnsi="Times New Roman" w:cs="Times New Roman"/>
          <w:b/>
          <w:bCs/>
        </w:rPr>
        <w:t>Loading &amp; Warehousing:</w:t>
      </w:r>
      <w:r w:rsidRPr="007E3BA0">
        <w:rPr>
          <w:rFonts w:ascii="Times New Roman" w:hAnsi="Times New Roman" w:cs="Times New Roman"/>
        </w:rPr>
        <w:t xml:space="preserve"> An analytical </w:t>
      </w:r>
      <w:r w:rsidRPr="007E3BA0">
        <w:rPr>
          <w:rFonts w:ascii="Times New Roman" w:hAnsi="Times New Roman" w:cs="Times New Roman"/>
          <w:b/>
          <w:bCs/>
        </w:rPr>
        <w:t>Star Schema</w:t>
      </w:r>
      <w:r w:rsidRPr="007E3BA0">
        <w:rPr>
          <w:rFonts w:ascii="Times New Roman" w:hAnsi="Times New Roman" w:cs="Times New Roman"/>
        </w:rPr>
        <w:t xml:space="preserve"> was designed using SQLite and </w:t>
      </w:r>
      <w:proofErr w:type="spellStart"/>
      <w:r w:rsidRPr="007E3BA0">
        <w:rPr>
          <w:rFonts w:ascii="Times New Roman" w:hAnsi="Times New Roman" w:cs="Times New Roman"/>
        </w:rPr>
        <w:t>SQLAlchemy</w:t>
      </w:r>
      <w:proofErr w:type="spellEnd"/>
      <w:r w:rsidRPr="007E3BA0">
        <w:rPr>
          <w:rFonts w:ascii="Times New Roman" w:hAnsi="Times New Roman" w:cs="Times New Roman"/>
        </w:rPr>
        <w:t>. The architecture features central Fact tables (</w:t>
      </w:r>
      <w:proofErr w:type="spellStart"/>
      <w:r w:rsidRPr="007E3BA0">
        <w:rPr>
          <w:rFonts w:ascii="Times New Roman" w:hAnsi="Times New Roman" w:cs="Times New Roman"/>
        </w:rPr>
        <w:t>fact_nav</w:t>
      </w:r>
      <w:proofErr w:type="spellEnd"/>
      <w:r w:rsidRPr="007E3BA0">
        <w:rPr>
          <w:rFonts w:ascii="Times New Roman" w:hAnsi="Times New Roman" w:cs="Times New Roman"/>
        </w:rPr>
        <w:t xml:space="preserve">, </w:t>
      </w:r>
      <w:proofErr w:type="spellStart"/>
      <w:r w:rsidRPr="007E3BA0">
        <w:rPr>
          <w:rFonts w:ascii="Times New Roman" w:hAnsi="Times New Roman" w:cs="Times New Roman"/>
        </w:rPr>
        <w:t>fact_transactions</w:t>
      </w:r>
      <w:proofErr w:type="spellEnd"/>
      <w:r w:rsidRPr="007E3BA0">
        <w:rPr>
          <w:rFonts w:ascii="Times New Roman" w:hAnsi="Times New Roman" w:cs="Times New Roman"/>
        </w:rPr>
        <w:t xml:space="preserve">, </w:t>
      </w:r>
      <w:proofErr w:type="spellStart"/>
      <w:r w:rsidRPr="007E3BA0">
        <w:rPr>
          <w:rFonts w:ascii="Times New Roman" w:hAnsi="Times New Roman" w:cs="Times New Roman"/>
        </w:rPr>
        <w:t>fact_performance</w:t>
      </w:r>
      <w:proofErr w:type="spellEnd"/>
      <w:r w:rsidRPr="007E3BA0">
        <w:rPr>
          <w:rFonts w:ascii="Times New Roman" w:hAnsi="Times New Roman" w:cs="Times New Roman"/>
        </w:rPr>
        <w:t>) linked via foreign keys to Dimension tables (</w:t>
      </w:r>
      <w:proofErr w:type="spellStart"/>
      <w:r w:rsidRPr="007E3BA0">
        <w:rPr>
          <w:rFonts w:ascii="Times New Roman" w:hAnsi="Times New Roman" w:cs="Times New Roman"/>
        </w:rPr>
        <w:t>dim_fund</w:t>
      </w:r>
      <w:proofErr w:type="spellEnd"/>
      <w:r w:rsidRPr="007E3BA0">
        <w:rPr>
          <w:rFonts w:ascii="Times New Roman" w:hAnsi="Times New Roman" w:cs="Times New Roman"/>
        </w:rPr>
        <w:t xml:space="preserve">, </w:t>
      </w:r>
      <w:proofErr w:type="spellStart"/>
      <w:r w:rsidRPr="007E3BA0">
        <w:rPr>
          <w:rFonts w:ascii="Times New Roman" w:hAnsi="Times New Roman" w:cs="Times New Roman"/>
        </w:rPr>
        <w:t>dim_date</w:t>
      </w:r>
      <w:proofErr w:type="spellEnd"/>
      <w:r w:rsidRPr="007E3BA0">
        <w:rPr>
          <w:rFonts w:ascii="Times New Roman" w:hAnsi="Times New Roman" w:cs="Times New Roman"/>
        </w:rPr>
        <w:t xml:space="preserve">, </w:t>
      </w:r>
      <w:proofErr w:type="spellStart"/>
      <w:r w:rsidRPr="007E3BA0">
        <w:rPr>
          <w:rFonts w:ascii="Times New Roman" w:hAnsi="Times New Roman" w:cs="Times New Roman"/>
        </w:rPr>
        <w:t>dim_investor</w:t>
      </w:r>
      <w:proofErr w:type="spellEnd"/>
      <w:r w:rsidRPr="007E3BA0">
        <w:rPr>
          <w:rFonts w:ascii="Times New Roman" w:hAnsi="Times New Roman" w:cs="Times New Roman"/>
        </w:rPr>
        <w:t>), optimizing the database for rapid Online Analytical Processing (OLAP) queries.</w:t>
      </w:r>
    </w:p>
    <w:p w14:paraId="129ABF02" w14:textId="77777777" w:rsidR="007E3BA0" w:rsidRPr="007E3BA0" w:rsidRDefault="007E3BA0" w:rsidP="007E3BA0">
      <w:pPr>
        <w:ind w:left="720"/>
        <w:jc w:val="both"/>
        <w:rPr>
          <w:rFonts w:ascii="Times New Roman" w:hAnsi="Times New Roman" w:cs="Times New Roman"/>
        </w:rPr>
      </w:pPr>
    </w:p>
    <w:p w14:paraId="062903A0" w14:textId="77777777" w:rsidR="007E3BA0" w:rsidRPr="007E3BA0" w:rsidRDefault="007E3BA0" w:rsidP="007E3BA0">
      <w:pPr>
        <w:rPr>
          <w:rFonts w:ascii="Times New Roman" w:hAnsi="Times New Roman" w:cs="Times New Roman"/>
          <w:b/>
          <w:bCs/>
          <w:sz w:val="32"/>
          <w:szCs w:val="32"/>
        </w:rPr>
      </w:pPr>
      <w:r w:rsidRPr="007E3BA0">
        <w:rPr>
          <w:rFonts w:ascii="Times New Roman" w:hAnsi="Times New Roman" w:cs="Times New Roman"/>
          <w:b/>
          <w:bCs/>
          <w:sz w:val="32"/>
          <w:szCs w:val="32"/>
        </w:rPr>
        <w:t>3. Detailed EDA Findings &amp; Visualizations</w:t>
      </w:r>
    </w:p>
    <w:p w14:paraId="6E7CCCEA" w14:textId="77777777" w:rsidR="007E3BA0" w:rsidRPr="007E3BA0" w:rsidRDefault="007E3BA0" w:rsidP="007E3BA0">
      <w:pPr>
        <w:jc w:val="both"/>
        <w:rPr>
          <w:rFonts w:ascii="Times New Roman" w:hAnsi="Times New Roman" w:cs="Times New Roman"/>
        </w:rPr>
      </w:pPr>
      <w:r w:rsidRPr="007E3BA0">
        <w:rPr>
          <w:rFonts w:ascii="Times New Roman" w:hAnsi="Times New Roman" w:cs="Times New Roman"/>
        </w:rPr>
        <w:t xml:space="preserve">Exploratory Data Analysis revealed several critical macroeconomic and </w:t>
      </w:r>
      <w:proofErr w:type="spellStart"/>
      <w:r w:rsidRPr="007E3BA0">
        <w:rPr>
          <w:rFonts w:ascii="Times New Roman" w:hAnsi="Times New Roman" w:cs="Times New Roman"/>
        </w:rPr>
        <w:t>behavioral</w:t>
      </w:r>
      <w:proofErr w:type="spellEnd"/>
      <w:r w:rsidRPr="007E3BA0">
        <w:rPr>
          <w:rFonts w:ascii="Times New Roman" w:hAnsi="Times New Roman" w:cs="Times New Roman"/>
        </w:rPr>
        <w:t xml:space="preserve"> trends:</w:t>
      </w:r>
    </w:p>
    <w:p w14:paraId="44CE2B43" w14:textId="77777777" w:rsidR="007E3BA0" w:rsidRPr="007E3BA0" w:rsidRDefault="007E3BA0" w:rsidP="007E3BA0">
      <w:pPr>
        <w:numPr>
          <w:ilvl w:val="0"/>
          <w:numId w:val="3"/>
        </w:numPr>
        <w:jc w:val="both"/>
        <w:rPr>
          <w:rFonts w:ascii="Times New Roman" w:hAnsi="Times New Roman" w:cs="Times New Roman"/>
        </w:rPr>
      </w:pPr>
      <w:r w:rsidRPr="007E3BA0">
        <w:rPr>
          <w:rFonts w:ascii="Times New Roman" w:hAnsi="Times New Roman" w:cs="Times New Roman"/>
          <w:b/>
          <w:bCs/>
        </w:rPr>
        <w:t>Industry AUM Growth:</w:t>
      </w:r>
      <w:r w:rsidRPr="007E3BA0">
        <w:rPr>
          <w:rFonts w:ascii="Times New Roman" w:hAnsi="Times New Roman" w:cs="Times New Roman"/>
        </w:rPr>
        <w:t xml:space="preserve"> The mutual fund industry witnessed a staggering growth trajectory, peaking at ₹81 Lakh Crore.</w:t>
      </w:r>
    </w:p>
    <w:p w14:paraId="345E85BA" w14:textId="77777777" w:rsidR="007E3BA0" w:rsidRDefault="007E3BA0" w:rsidP="007E3BA0">
      <w:pPr>
        <w:numPr>
          <w:ilvl w:val="0"/>
          <w:numId w:val="3"/>
        </w:numPr>
        <w:jc w:val="both"/>
        <w:rPr>
          <w:rFonts w:ascii="Times New Roman" w:hAnsi="Times New Roman" w:cs="Times New Roman"/>
        </w:rPr>
      </w:pPr>
      <w:r w:rsidRPr="007E3BA0">
        <w:rPr>
          <w:rFonts w:ascii="Times New Roman" w:hAnsi="Times New Roman" w:cs="Times New Roman"/>
          <w:b/>
          <w:bCs/>
        </w:rPr>
        <w:t>SIP Dominance:</w:t>
      </w:r>
      <w:r w:rsidRPr="007E3BA0">
        <w:rPr>
          <w:rFonts w:ascii="Times New Roman" w:hAnsi="Times New Roman" w:cs="Times New Roman"/>
        </w:rPr>
        <w:t xml:space="preserve"> A cultural shift towards disciplined investing is evident, with monthly SIP inflows hitting an all-time high of ₹31,002 Crore.</w:t>
      </w:r>
    </w:p>
    <w:p w14:paraId="3B379819" w14:textId="77777777" w:rsidR="00A07719" w:rsidRDefault="00A07719" w:rsidP="00A07719">
      <w:pPr>
        <w:ind w:left="720"/>
        <w:jc w:val="both"/>
        <w:rPr>
          <w:rFonts w:ascii="Times New Roman" w:hAnsi="Times New Roman" w:cs="Times New Roman"/>
        </w:rPr>
      </w:pPr>
    </w:p>
    <w:p w14:paraId="3BF12DC5" w14:textId="75F6A8F0" w:rsidR="00A07719" w:rsidRDefault="00A07719" w:rsidP="00A07719">
      <w:pPr>
        <w:ind w:left="720"/>
        <w:jc w:val="both"/>
        <w:rPr>
          <w:rFonts w:ascii="Times New Roman" w:hAnsi="Times New Roman" w:cs="Times New Roman"/>
        </w:rPr>
      </w:pPr>
      <w:r>
        <w:rPr>
          <w:noProof/>
        </w:rPr>
        <w:drawing>
          <wp:inline distT="0" distB="0" distL="0" distR="0" wp14:anchorId="6935A882" wp14:editId="44823561">
            <wp:extent cx="5478539" cy="2324100"/>
            <wp:effectExtent l="0" t="0" r="8255" b="0"/>
            <wp:docPr id="114187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0654" cy="2324997"/>
                    </a:xfrm>
                    <a:prstGeom prst="rect">
                      <a:avLst/>
                    </a:prstGeom>
                    <a:noFill/>
                    <a:ln>
                      <a:noFill/>
                    </a:ln>
                  </pic:spPr>
                </pic:pic>
              </a:graphicData>
            </a:graphic>
          </wp:inline>
        </w:drawing>
      </w:r>
    </w:p>
    <w:p w14:paraId="1A256E21" w14:textId="548F8D51" w:rsidR="00A07719" w:rsidRDefault="00A07719" w:rsidP="00A07719">
      <w:pPr>
        <w:ind w:left="720"/>
        <w:jc w:val="center"/>
        <w:rPr>
          <w:rFonts w:ascii="Times New Roman" w:hAnsi="Times New Roman" w:cs="Times New Roman"/>
        </w:rPr>
      </w:pPr>
      <w:r w:rsidRPr="00A07719">
        <w:rPr>
          <w:rFonts w:ascii="Times New Roman" w:hAnsi="Times New Roman" w:cs="Times New Roman"/>
        </w:rPr>
        <w:t>Figure 3.1: Industry AUM Growth and Fund House Dominance</w:t>
      </w:r>
    </w:p>
    <w:p w14:paraId="7A76D710" w14:textId="77777777" w:rsidR="00A07719" w:rsidRDefault="00A07719" w:rsidP="00A07719">
      <w:pPr>
        <w:ind w:left="720"/>
        <w:jc w:val="center"/>
        <w:rPr>
          <w:rFonts w:ascii="Times New Roman" w:hAnsi="Times New Roman" w:cs="Times New Roman"/>
        </w:rPr>
      </w:pPr>
    </w:p>
    <w:p w14:paraId="07181984" w14:textId="67DA535B" w:rsidR="00A07719" w:rsidRDefault="00A07719" w:rsidP="00A07719">
      <w:pPr>
        <w:ind w:left="720"/>
        <w:jc w:val="center"/>
        <w:rPr>
          <w:rFonts w:ascii="Times New Roman" w:hAnsi="Times New Roman" w:cs="Times New Roman"/>
        </w:rPr>
      </w:pPr>
      <w:r>
        <w:rPr>
          <w:noProof/>
        </w:rPr>
        <w:lastRenderedPageBreak/>
        <w:drawing>
          <wp:inline distT="0" distB="0" distL="0" distR="0" wp14:anchorId="71992CC1" wp14:editId="3C76D26D">
            <wp:extent cx="5667375" cy="2683002"/>
            <wp:effectExtent l="0" t="0" r="0" b="3175"/>
            <wp:docPr id="48790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6885" b="7052"/>
                    <a:stretch>
                      <a:fillRect/>
                    </a:stretch>
                  </pic:blipFill>
                  <pic:spPr bwMode="auto">
                    <a:xfrm>
                      <a:off x="0" y="0"/>
                      <a:ext cx="5676818" cy="2687472"/>
                    </a:xfrm>
                    <a:prstGeom prst="rect">
                      <a:avLst/>
                    </a:prstGeom>
                    <a:noFill/>
                    <a:ln>
                      <a:noFill/>
                    </a:ln>
                    <a:extLst>
                      <a:ext uri="{53640926-AAD7-44D8-BBD7-CCE9431645EC}">
                        <a14:shadowObscured xmlns:a14="http://schemas.microsoft.com/office/drawing/2010/main"/>
                      </a:ext>
                    </a:extLst>
                  </pic:spPr>
                </pic:pic>
              </a:graphicData>
            </a:graphic>
          </wp:inline>
        </w:drawing>
      </w:r>
    </w:p>
    <w:p w14:paraId="683779D5" w14:textId="3A0AEEB9" w:rsidR="00A07719" w:rsidRDefault="00A07719" w:rsidP="00A07719">
      <w:pPr>
        <w:ind w:left="720"/>
        <w:jc w:val="center"/>
        <w:rPr>
          <w:rFonts w:ascii="Times New Roman" w:hAnsi="Times New Roman" w:cs="Times New Roman"/>
        </w:rPr>
      </w:pPr>
      <w:r w:rsidRPr="00A07719">
        <w:rPr>
          <w:rFonts w:ascii="Times New Roman" w:hAnsi="Times New Roman" w:cs="Times New Roman"/>
        </w:rPr>
        <w:t>Figure 3.2: Monthly SIP Inflow Volumetric Trend Analysis</w:t>
      </w:r>
    </w:p>
    <w:p w14:paraId="57E52812" w14:textId="77777777" w:rsidR="00A07719" w:rsidRDefault="00A07719" w:rsidP="00A07719">
      <w:pPr>
        <w:ind w:left="720"/>
        <w:jc w:val="center"/>
        <w:rPr>
          <w:rFonts w:ascii="Times New Roman" w:hAnsi="Times New Roman" w:cs="Times New Roman"/>
        </w:rPr>
      </w:pPr>
    </w:p>
    <w:p w14:paraId="0B3639E0" w14:textId="3E5BCA4A" w:rsidR="00A07719" w:rsidRDefault="00A07719" w:rsidP="00A07719">
      <w:pPr>
        <w:ind w:left="720"/>
        <w:jc w:val="center"/>
        <w:rPr>
          <w:rFonts w:ascii="Times New Roman" w:hAnsi="Times New Roman" w:cs="Times New Roman"/>
        </w:rPr>
      </w:pPr>
      <w:r>
        <w:rPr>
          <w:noProof/>
        </w:rPr>
        <w:drawing>
          <wp:inline distT="0" distB="0" distL="0" distR="0" wp14:anchorId="544B086F" wp14:editId="257D32D6">
            <wp:extent cx="5730398" cy="2714625"/>
            <wp:effectExtent l="0" t="0" r="3810" b="0"/>
            <wp:docPr id="2008078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t="6600" b="7281"/>
                    <a:stretch>
                      <a:fillRect/>
                    </a:stretch>
                  </pic:blipFill>
                  <pic:spPr bwMode="auto">
                    <a:xfrm>
                      <a:off x="0" y="0"/>
                      <a:ext cx="5756613" cy="2727044"/>
                    </a:xfrm>
                    <a:prstGeom prst="rect">
                      <a:avLst/>
                    </a:prstGeom>
                    <a:noFill/>
                    <a:ln>
                      <a:noFill/>
                    </a:ln>
                    <a:extLst>
                      <a:ext uri="{53640926-AAD7-44D8-BBD7-CCE9431645EC}">
                        <a14:shadowObscured xmlns:a14="http://schemas.microsoft.com/office/drawing/2010/main"/>
                      </a:ext>
                    </a:extLst>
                  </pic:spPr>
                </pic:pic>
              </a:graphicData>
            </a:graphic>
          </wp:inline>
        </w:drawing>
      </w:r>
    </w:p>
    <w:p w14:paraId="43DA339F" w14:textId="444F69F8" w:rsidR="00A07719" w:rsidRDefault="00A07719" w:rsidP="00A07719">
      <w:pPr>
        <w:ind w:left="720"/>
        <w:jc w:val="center"/>
        <w:rPr>
          <w:rFonts w:ascii="Times New Roman" w:hAnsi="Times New Roman" w:cs="Times New Roman"/>
        </w:rPr>
      </w:pPr>
      <w:r w:rsidRPr="00A07719">
        <w:rPr>
          <w:rFonts w:ascii="Times New Roman" w:hAnsi="Times New Roman" w:cs="Times New Roman"/>
        </w:rPr>
        <w:t>Figure 3.3: Growth of Total Active Mutual Fund Folios</w:t>
      </w:r>
    </w:p>
    <w:p w14:paraId="62E5EF72" w14:textId="77777777" w:rsidR="00A07719" w:rsidRPr="007E3BA0" w:rsidRDefault="00A07719" w:rsidP="00A07719">
      <w:pPr>
        <w:ind w:left="720"/>
        <w:jc w:val="center"/>
        <w:rPr>
          <w:rFonts w:ascii="Times New Roman" w:hAnsi="Times New Roman" w:cs="Times New Roman"/>
        </w:rPr>
      </w:pPr>
    </w:p>
    <w:p w14:paraId="293D08FD" w14:textId="77777777" w:rsidR="007E3BA0" w:rsidRDefault="007E3BA0" w:rsidP="007E3BA0">
      <w:pPr>
        <w:numPr>
          <w:ilvl w:val="0"/>
          <w:numId w:val="4"/>
        </w:numPr>
        <w:jc w:val="both"/>
        <w:rPr>
          <w:rFonts w:ascii="Times New Roman" w:hAnsi="Times New Roman" w:cs="Times New Roman"/>
        </w:rPr>
      </w:pPr>
      <w:r w:rsidRPr="007E3BA0">
        <w:rPr>
          <w:rFonts w:ascii="Times New Roman" w:hAnsi="Times New Roman" w:cs="Times New Roman"/>
          <w:b/>
          <w:bCs/>
        </w:rPr>
        <w:t>Demographic Insights:</w:t>
      </w:r>
      <w:r w:rsidRPr="007E3BA0">
        <w:rPr>
          <w:rFonts w:ascii="Times New Roman" w:hAnsi="Times New Roman" w:cs="Times New Roman"/>
        </w:rPr>
        <w:t xml:space="preserve"> The investor base is notably young, with the 26-35 age bracket dominating participation. Geographically, Tier-1 cities and states like Maharashtra and Karnataka lead transaction volumes, highlighting an opportunity for targeted marketing in B30 (Beyond Top 30) cities.</w:t>
      </w:r>
    </w:p>
    <w:p w14:paraId="6A2A13DC" w14:textId="6C461690" w:rsidR="00A07719" w:rsidRDefault="00A07719" w:rsidP="00A07719">
      <w:pPr>
        <w:ind w:left="720"/>
        <w:jc w:val="both"/>
        <w:rPr>
          <w:rFonts w:ascii="Times New Roman" w:hAnsi="Times New Roman" w:cs="Times New Roman"/>
        </w:rPr>
      </w:pPr>
      <w:r>
        <w:rPr>
          <w:noProof/>
        </w:rPr>
        <w:lastRenderedPageBreak/>
        <w:drawing>
          <wp:inline distT="0" distB="0" distL="0" distR="0" wp14:anchorId="4F263111" wp14:editId="3588AB3F">
            <wp:extent cx="5180674" cy="2200275"/>
            <wp:effectExtent l="0" t="0" r="1270" b="0"/>
            <wp:docPr id="563550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t="6617" b="16174"/>
                    <a:stretch>
                      <a:fillRect/>
                    </a:stretch>
                  </pic:blipFill>
                  <pic:spPr bwMode="auto">
                    <a:xfrm>
                      <a:off x="0" y="0"/>
                      <a:ext cx="5198730" cy="2207944"/>
                    </a:xfrm>
                    <a:prstGeom prst="rect">
                      <a:avLst/>
                    </a:prstGeom>
                    <a:noFill/>
                    <a:ln>
                      <a:noFill/>
                    </a:ln>
                    <a:extLst>
                      <a:ext uri="{53640926-AAD7-44D8-BBD7-CCE9431645EC}">
                        <a14:shadowObscured xmlns:a14="http://schemas.microsoft.com/office/drawing/2010/main"/>
                      </a:ext>
                    </a:extLst>
                  </pic:spPr>
                </pic:pic>
              </a:graphicData>
            </a:graphic>
          </wp:inline>
        </w:drawing>
      </w:r>
    </w:p>
    <w:p w14:paraId="37705DA7" w14:textId="78F94B20" w:rsidR="007E3BA0" w:rsidRDefault="00A07719" w:rsidP="00A07719">
      <w:pPr>
        <w:ind w:left="720"/>
        <w:jc w:val="center"/>
        <w:rPr>
          <w:rFonts w:ascii="Times New Roman" w:hAnsi="Times New Roman" w:cs="Times New Roman"/>
        </w:rPr>
      </w:pPr>
      <w:r w:rsidRPr="00A07719">
        <w:rPr>
          <w:rFonts w:ascii="Times New Roman" w:hAnsi="Times New Roman" w:cs="Times New Roman"/>
        </w:rPr>
        <w:t>3.4: Investor Age Cohort Segmentation</w:t>
      </w:r>
      <w:r>
        <w:rPr>
          <w:rFonts w:ascii="Times New Roman" w:hAnsi="Times New Roman" w:cs="Times New Roman"/>
        </w:rPr>
        <w:br/>
      </w:r>
    </w:p>
    <w:p w14:paraId="5A6C62F2" w14:textId="5B1119DF" w:rsidR="00A07719" w:rsidRDefault="00A07719" w:rsidP="007E3BA0">
      <w:pPr>
        <w:ind w:left="720"/>
        <w:jc w:val="both"/>
        <w:rPr>
          <w:rFonts w:ascii="Times New Roman" w:hAnsi="Times New Roman" w:cs="Times New Roman"/>
        </w:rPr>
      </w:pPr>
      <w:r>
        <w:rPr>
          <w:noProof/>
        </w:rPr>
        <w:drawing>
          <wp:inline distT="0" distB="0" distL="0" distR="0" wp14:anchorId="7A124A2A" wp14:editId="58DB7673">
            <wp:extent cx="5229225" cy="2207328"/>
            <wp:effectExtent l="0" t="0" r="0" b="2540"/>
            <wp:docPr id="2002033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t="6949" b="16314"/>
                    <a:stretch>
                      <a:fillRect/>
                    </a:stretch>
                  </pic:blipFill>
                  <pic:spPr bwMode="auto">
                    <a:xfrm>
                      <a:off x="0" y="0"/>
                      <a:ext cx="5242028" cy="2212732"/>
                    </a:xfrm>
                    <a:prstGeom prst="rect">
                      <a:avLst/>
                    </a:prstGeom>
                    <a:noFill/>
                    <a:ln>
                      <a:noFill/>
                    </a:ln>
                    <a:extLst>
                      <a:ext uri="{53640926-AAD7-44D8-BBD7-CCE9431645EC}">
                        <a14:shadowObscured xmlns:a14="http://schemas.microsoft.com/office/drawing/2010/main"/>
                      </a:ext>
                    </a:extLst>
                  </pic:spPr>
                </pic:pic>
              </a:graphicData>
            </a:graphic>
          </wp:inline>
        </w:drawing>
      </w:r>
    </w:p>
    <w:p w14:paraId="1F91CE86" w14:textId="1216D662" w:rsidR="00A07719" w:rsidRDefault="00A07719" w:rsidP="00A07719">
      <w:pPr>
        <w:ind w:left="720"/>
        <w:jc w:val="center"/>
        <w:rPr>
          <w:rFonts w:ascii="Times New Roman" w:hAnsi="Times New Roman" w:cs="Times New Roman"/>
        </w:rPr>
      </w:pPr>
      <w:r w:rsidRPr="00A07719">
        <w:rPr>
          <w:rFonts w:ascii="Times New Roman" w:hAnsi="Times New Roman" w:cs="Times New Roman"/>
        </w:rPr>
        <w:t>3.5: Demographics - Gender Diversity Split</w:t>
      </w:r>
      <w:r>
        <w:rPr>
          <w:rFonts w:ascii="Times New Roman" w:hAnsi="Times New Roman" w:cs="Times New Roman"/>
        </w:rPr>
        <w:br/>
      </w:r>
    </w:p>
    <w:p w14:paraId="60A1C1C7" w14:textId="7A43A0E0" w:rsidR="00A07719" w:rsidRDefault="00A07719" w:rsidP="00A07719">
      <w:pPr>
        <w:ind w:left="720"/>
        <w:jc w:val="center"/>
        <w:rPr>
          <w:rFonts w:ascii="Times New Roman" w:hAnsi="Times New Roman" w:cs="Times New Roman"/>
        </w:rPr>
      </w:pPr>
      <w:r>
        <w:rPr>
          <w:noProof/>
        </w:rPr>
        <w:drawing>
          <wp:inline distT="0" distB="0" distL="0" distR="0" wp14:anchorId="07CF353B" wp14:editId="6ADA65F5">
            <wp:extent cx="3638550" cy="2712184"/>
            <wp:effectExtent l="0" t="0" r="0" b="0"/>
            <wp:docPr id="383119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5088" cy="2731966"/>
                    </a:xfrm>
                    <a:prstGeom prst="rect">
                      <a:avLst/>
                    </a:prstGeom>
                    <a:noFill/>
                    <a:ln>
                      <a:noFill/>
                    </a:ln>
                  </pic:spPr>
                </pic:pic>
              </a:graphicData>
            </a:graphic>
          </wp:inline>
        </w:drawing>
      </w:r>
    </w:p>
    <w:p w14:paraId="4069D960" w14:textId="28DC2652" w:rsidR="00A07719" w:rsidRDefault="00A07719" w:rsidP="00A07719">
      <w:pPr>
        <w:ind w:left="720"/>
        <w:jc w:val="center"/>
        <w:rPr>
          <w:rFonts w:ascii="Times New Roman" w:hAnsi="Times New Roman" w:cs="Times New Roman"/>
        </w:rPr>
      </w:pPr>
      <w:r w:rsidRPr="00A07719">
        <w:rPr>
          <w:rFonts w:ascii="Times New Roman" w:hAnsi="Times New Roman" w:cs="Times New Roman"/>
        </w:rPr>
        <w:t>3.6: SIP Allocation and Ticket Size across Age Groups</w:t>
      </w:r>
    </w:p>
    <w:p w14:paraId="21E84720" w14:textId="0FD6965F" w:rsidR="00A07719" w:rsidRDefault="00A07719" w:rsidP="00A07719">
      <w:pPr>
        <w:ind w:left="720"/>
        <w:jc w:val="center"/>
        <w:rPr>
          <w:rFonts w:ascii="Times New Roman" w:hAnsi="Times New Roman" w:cs="Times New Roman"/>
        </w:rPr>
      </w:pPr>
      <w:r>
        <w:rPr>
          <w:noProof/>
        </w:rPr>
        <w:lastRenderedPageBreak/>
        <w:drawing>
          <wp:inline distT="0" distB="0" distL="0" distR="0" wp14:anchorId="392B20F7" wp14:editId="7CA441EE">
            <wp:extent cx="3771900" cy="3137121"/>
            <wp:effectExtent l="0" t="0" r="0" b="6350"/>
            <wp:docPr id="666041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76794" cy="3141191"/>
                    </a:xfrm>
                    <a:prstGeom prst="rect">
                      <a:avLst/>
                    </a:prstGeom>
                    <a:noFill/>
                    <a:ln>
                      <a:noFill/>
                    </a:ln>
                  </pic:spPr>
                </pic:pic>
              </a:graphicData>
            </a:graphic>
          </wp:inline>
        </w:drawing>
      </w:r>
    </w:p>
    <w:p w14:paraId="23662349" w14:textId="3A2D73D0" w:rsidR="00A07719" w:rsidRDefault="00A07719" w:rsidP="00A07719">
      <w:pPr>
        <w:ind w:left="720"/>
        <w:jc w:val="center"/>
        <w:rPr>
          <w:rFonts w:ascii="Times New Roman" w:hAnsi="Times New Roman" w:cs="Times New Roman"/>
        </w:rPr>
      </w:pPr>
      <w:r w:rsidRPr="00A07719">
        <w:rPr>
          <w:rFonts w:ascii="Times New Roman" w:hAnsi="Times New Roman" w:cs="Times New Roman"/>
        </w:rPr>
        <w:t>3.7: Geographic Distribution of Total SIP Investments</w:t>
      </w:r>
      <w:r>
        <w:rPr>
          <w:rFonts w:ascii="Times New Roman" w:hAnsi="Times New Roman" w:cs="Times New Roman"/>
        </w:rPr>
        <w:br/>
      </w:r>
    </w:p>
    <w:p w14:paraId="36FCB37A" w14:textId="69A8A2F1" w:rsidR="00A07719" w:rsidRDefault="00A07719" w:rsidP="00A07719">
      <w:pPr>
        <w:ind w:left="720"/>
        <w:jc w:val="center"/>
        <w:rPr>
          <w:rFonts w:ascii="Times New Roman" w:hAnsi="Times New Roman" w:cs="Times New Roman"/>
        </w:rPr>
      </w:pPr>
      <w:r>
        <w:rPr>
          <w:noProof/>
        </w:rPr>
        <w:drawing>
          <wp:inline distT="0" distB="0" distL="0" distR="0" wp14:anchorId="7D512E86" wp14:editId="754A3057">
            <wp:extent cx="4609465" cy="2619375"/>
            <wp:effectExtent l="0" t="0" r="635" b="9525"/>
            <wp:docPr id="1436262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2">
                      <a:extLst>
                        <a:ext uri="{28A0092B-C50C-407E-A947-70E740481C1C}">
                          <a14:useLocalDpi xmlns:a14="http://schemas.microsoft.com/office/drawing/2010/main" val="0"/>
                        </a:ext>
                      </a:extLst>
                    </a:blip>
                    <a:srcRect l="413" t="6733" r="-413" b="16115"/>
                    <a:stretch>
                      <a:fillRect/>
                    </a:stretch>
                  </pic:blipFill>
                  <pic:spPr bwMode="auto">
                    <a:xfrm>
                      <a:off x="0" y="0"/>
                      <a:ext cx="4616764" cy="2623523"/>
                    </a:xfrm>
                    <a:prstGeom prst="rect">
                      <a:avLst/>
                    </a:prstGeom>
                    <a:noFill/>
                    <a:ln>
                      <a:noFill/>
                    </a:ln>
                    <a:extLst>
                      <a:ext uri="{53640926-AAD7-44D8-BBD7-CCE9431645EC}">
                        <a14:shadowObscured xmlns:a14="http://schemas.microsoft.com/office/drawing/2010/main"/>
                      </a:ext>
                    </a:extLst>
                  </pic:spPr>
                </pic:pic>
              </a:graphicData>
            </a:graphic>
          </wp:inline>
        </w:drawing>
      </w:r>
    </w:p>
    <w:p w14:paraId="0CE9CC06" w14:textId="350E475E" w:rsidR="00A07719" w:rsidRDefault="00A07719" w:rsidP="00A07719">
      <w:pPr>
        <w:ind w:left="720"/>
        <w:jc w:val="center"/>
        <w:rPr>
          <w:rFonts w:ascii="Times New Roman" w:hAnsi="Times New Roman" w:cs="Times New Roman"/>
        </w:rPr>
      </w:pPr>
      <w:r w:rsidRPr="00A07719">
        <w:rPr>
          <w:rFonts w:ascii="Times New Roman" w:hAnsi="Times New Roman" w:cs="Times New Roman"/>
        </w:rPr>
        <w:t>3.8: Market Penetration by City Tier Classification</w:t>
      </w:r>
      <w:r>
        <w:rPr>
          <w:rFonts w:ascii="Times New Roman" w:hAnsi="Times New Roman" w:cs="Times New Roman"/>
        </w:rPr>
        <w:br/>
      </w:r>
    </w:p>
    <w:p w14:paraId="4F31F30E" w14:textId="77777777" w:rsidR="00411F8C" w:rsidRDefault="00411F8C" w:rsidP="00A07719">
      <w:pPr>
        <w:ind w:left="720"/>
        <w:jc w:val="center"/>
        <w:rPr>
          <w:rFonts w:ascii="Times New Roman" w:hAnsi="Times New Roman" w:cs="Times New Roman"/>
        </w:rPr>
      </w:pPr>
    </w:p>
    <w:p w14:paraId="01F408A4" w14:textId="77777777" w:rsidR="00411F8C" w:rsidRDefault="00411F8C" w:rsidP="00A07719">
      <w:pPr>
        <w:ind w:left="720"/>
        <w:jc w:val="center"/>
        <w:rPr>
          <w:rFonts w:ascii="Times New Roman" w:hAnsi="Times New Roman" w:cs="Times New Roman"/>
        </w:rPr>
      </w:pPr>
    </w:p>
    <w:p w14:paraId="4684EC20" w14:textId="77777777" w:rsidR="00411F8C" w:rsidRPr="007E3BA0" w:rsidRDefault="00411F8C" w:rsidP="00A07719">
      <w:pPr>
        <w:ind w:left="720"/>
        <w:jc w:val="center"/>
        <w:rPr>
          <w:rFonts w:ascii="Times New Roman" w:hAnsi="Times New Roman" w:cs="Times New Roman"/>
        </w:rPr>
      </w:pPr>
    </w:p>
    <w:p w14:paraId="258E9247" w14:textId="77777777" w:rsidR="007E3BA0" w:rsidRPr="007E3BA0" w:rsidRDefault="007E3BA0" w:rsidP="007E3BA0">
      <w:pPr>
        <w:jc w:val="both"/>
        <w:rPr>
          <w:rFonts w:ascii="Times New Roman" w:hAnsi="Times New Roman" w:cs="Times New Roman"/>
          <w:b/>
          <w:bCs/>
          <w:sz w:val="32"/>
          <w:szCs w:val="32"/>
        </w:rPr>
      </w:pPr>
      <w:r w:rsidRPr="007E3BA0">
        <w:rPr>
          <w:rFonts w:ascii="Times New Roman" w:hAnsi="Times New Roman" w:cs="Times New Roman"/>
          <w:b/>
          <w:bCs/>
          <w:sz w:val="32"/>
          <w:szCs w:val="32"/>
        </w:rPr>
        <w:t>4. Fund Performance &amp; Advanced Risk Analysis</w:t>
      </w:r>
    </w:p>
    <w:p w14:paraId="698E6264" w14:textId="77777777" w:rsidR="007E3BA0" w:rsidRPr="007E3BA0" w:rsidRDefault="007E3BA0" w:rsidP="007E3BA0">
      <w:pPr>
        <w:jc w:val="both"/>
        <w:rPr>
          <w:rFonts w:ascii="Times New Roman" w:hAnsi="Times New Roman" w:cs="Times New Roman"/>
        </w:rPr>
      </w:pPr>
      <w:r w:rsidRPr="007E3BA0">
        <w:rPr>
          <w:rFonts w:ascii="Times New Roman" w:hAnsi="Times New Roman" w:cs="Times New Roman"/>
        </w:rPr>
        <w:t>Moving beyond simple point-to-point returns, the project evaluated funds on institutional-grade risk-adjusted metrics.</w:t>
      </w:r>
    </w:p>
    <w:p w14:paraId="166183CD" w14:textId="77777777" w:rsidR="007E3BA0" w:rsidRPr="007E3BA0" w:rsidRDefault="007E3BA0" w:rsidP="007E3BA0">
      <w:pPr>
        <w:rPr>
          <w:rFonts w:ascii="Times New Roman" w:hAnsi="Times New Roman" w:cs="Times New Roman"/>
          <w:b/>
          <w:bCs/>
          <w:sz w:val="28"/>
          <w:szCs w:val="28"/>
        </w:rPr>
      </w:pPr>
      <w:r w:rsidRPr="007E3BA0">
        <w:rPr>
          <w:rFonts w:ascii="Times New Roman" w:hAnsi="Times New Roman" w:cs="Times New Roman"/>
          <w:b/>
          <w:bCs/>
          <w:sz w:val="28"/>
          <w:szCs w:val="28"/>
        </w:rPr>
        <w:lastRenderedPageBreak/>
        <w:t>4.1 Quantitative Performance Metrics</w:t>
      </w:r>
    </w:p>
    <w:p w14:paraId="360A1169" w14:textId="77777777" w:rsidR="007E3BA0" w:rsidRPr="007E3BA0" w:rsidRDefault="007E3BA0" w:rsidP="007E3BA0">
      <w:pPr>
        <w:numPr>
          <w:ilvl w:val="0"/>
          <w:numId w:val="5"/>
        </w:numPr>
        <w:jc w:val="both"/>
        <w:rPr>
          <w:rFonts w:ascii="Times New Roman" w:hAnsi="Times New Roman" w:cs="Times New Roman"/>
        </w:rPr>
      </w:pPr>
      <w:r w:rsidRPr="007E3BA0">
        <w:rPr>
          <w:rFonts w:ascii="Times New Roman" w:hAnsi="Times New Roman" w:cs="Times New Roman"/>
          <w:b/>
          <w:bCs/>
        </w:rPr>
        <w:t>CAGR &amp; Volatility:</w:t>
      </w:r>
      <w:r w:rsidRPr="007E3BA0">
        <w:rPr>
          <w:rFonts w:ascii="Times New Roman" w:hAnsi="Times New Roman" w:cs="Times New Roman"/>
        </w:rPr>
        <w:t xml:space="preserve"> Calculated 1Y, 3Y, and 5Y Compound Annual Growth Rates.</w:t>
      </w:r>
    </w:p>
    <w:p w14:paraId="3B4ABCFD" w14:textId="77777777" w:rsidR="007E3BA0" w:rsidRPr="007E3BA0" w:rsidRDefault="007E3BA0" w:rsidP="007E3BA0">
      <w:pPr>
        <w:numPr>
          <w:ilvl w:val="0"/>
          <w:numId w:val="5"/>
        </w:numPr>
        <w:jc w:val="both"/>
        <w:rPr>
          <w:rFonts w:ascii="Times New Roman" w:hAnsi="Times New Roman" w:cs="Times New Roman"/>
        </w:rPr>
      </w:pPr>
      <w:r w:rsidRPr="007E3BA0">
        <w:rPr>
          <w:rFonts w:ascii="Times New Roman" w:hAnsi="Times New Roman" w:cs="Times New Roman"/>
          <w:b/>
          <w:bCs/>
        </w:rPr>
        <w:t>Risk-Adjusted Returns:</w:t>
      </w:r>
      <w:r w:rsidRPr="007E3BA0">
        <w:rPr>
          <w:rFonts w:ascii="Times New Roman" w:hAnsi="Times New Roman" w:cs="Times New Roman"/>
        </w:rPr>
        <w:t xml:space="preserve"> Computed the Sharpe Ratio (assuming a 6.5% risk-free rate) and Sortino Ratio (measuring downside deviation).</w:t>
      </w:r>
    </w:p>
    <w:p w14:paraId="3D411991" w14:textId="77777777" w:rsidR="007E3BA0" w:rsidRPr="007E3BA0" w:rsidRDefault="007E3BA0" w:rsidP="007E3BA0">
      <w:pPr>
        <w:numPr>
          <w:ilvl w:val="0"/>
          <w:numId w:val="5"/>
        </w:numPr>
        <w:jc w:val="both"/>
        <w:rPr>
          <w:rFonts w:ascii="Times New Roman" w:hAnsi="Times New Roman" w:cs="Times New Roman"/>
        </w:rPr>
      </w:pPr>
      <w:r w:rsidRPr="007E3BA0">
        <w:rPr>
          <w:rFonts w:ascii="Times New Roman" w:hAnsi="Times New Roman" w:cs="Times New Roman"/>
          <w:b/>
          <w:bCs/>
        </w:rPr>
        <w:t>Market Regression:</w:t>
      </w:r>
      <w:r w:rsidRPr="007E3BA0">
        <w:rPr>
          <w:rFonts w:ascii="Times New Roman" w:hAnsi="Times New Roman" w:cs="Times New Roman"/>
        </w:rPr>
        <w:t xml:space="preserve"> Executed OLS regression against the Nifty 50 benchmark to extract annualized Alpha (excess return) and Beta (market correlation).</w:t>
      </w:r>
    </w:p>
    <w:p w14:paraId="057E997C" w14:textId="77777777" w:rsidR="007E3BA0" w:rsidRDefault="007E3BA0" w:rsidP="007E3BA0">
      <w:pPr>
        <w:jc w:val="both"/>
        <w:rPr>
          <w:rFonts w:ascii="Times New Roman" w:hAnsi="Times New Roman" w:cs="Times New Roman"/>
        </w:rPr>
      </w:pPr>
      <w:r w:rsidRPr="007E3BA0">
        <w:rPr>
          <w:rFonts w:ascii="Times New Roman" w:hAnsi="Times New Roman" w:cs="Times New Roman"/>
        </w:rPr>
        <w:t xml:space="preserve">These metrics were aggregated into a proprietary </w:t>
      </w:r>
      <w:r w:rsidRPr="007E3BA0">
        <w:rPr>
          <w:rFonts w:ascii="Times New Roman" w:hAnsi="Times New Roman" w:cs="Times New Roman"/>
          <w:b/>
          <w:bCs/>
        </w:rPr>
        <w:t>Custom Fund Scorecard (0-100)</w:t>
      </w:r>
      <w:r w:rsidRPr="007E3BA0">
        <w:rPr>
          <w:rFonts w:ascii="Times New Roman" w:hAnsi="Times New Roman" w:cs="Times New Roman"/>
        </w:rPr>
        <w:t xml:space="preserve"> to objectively rank the top 40 schemes.</w:t>
      </w:r>
    </w:p>
    <w:p w14:paraId="040D5943" w14:textId="6C1CD443" w:rsidR="007E3BA0" w:rsidRDefault="00A07719" w:rsidP="00A07719">
      <w:pPr>
        <w:jc w:val="center"/>
        <w:rPr>
          <w:rFonts w:ascii="Times New Roman" w:hAnsi="Times New Roman" w:cs="Times New Roman"/>
        </w:rPr>
      </w:pPr>
      <w:r>
        <w:rPr>
          <w:noProof/>
        </w:rPr>
        <w:drawing>
          <wp:inline distT="0" distB="0" distL="0" distR="0" wp14:anchorId="49F6978C" wp14:editId="63E7AE55">
            <wp:extent cx="5248275" cy="2714625"/>
            <wp:effectExtent l="0" t="0" r="9525" b="9525"/>
            <wp:docPr id="2942180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a:extLst>
                        <a:ext uri="{28A0092B-C50C-407E-A947-70E740481C1C}">
                          <a14:useLocalDpi xmlns:a14="http://schemas.microsoft.com/office/drawing/2010/main" val="0"/>
                        </a:ext>
                      </a:extLst>
                    </a:blip>
                    <a:srcRect t="6647" r="8432" b="7251"/>
                    <a:stretch>
                      <a:fillRect/>
                    </a:stretch>
                  </pic:blipFill>
                  <pic:spPr bwMode="auto">
                    <a:xfrm>
                      <a:off x="0" y="0"/>
                      <a:ext cx="5248275" cy="2714625"/>
                    </a:xfrm>
                    <a:prstGeom prst="rect">
                      <a:avLst/>
                    </a:prstGeom>
                    <a:noFill/>
                    <a:ln>
                      <a:noFill/>
                    </a:ln>
                    <a:extLst>
                      <a:ext uri="{53640926-AAD7-44D8-BBD7-CCE9431645EC}">
                        <a14:shadowObscured xmlns:a14="http://schemas.microsoft.com/office/drawing/2010/main"/>
                      </a:ext>
                    </a:extLst>
                  </pic:spPr>
                </pic:pic>
              </a:graphicData>
            </a:graphic>
          </wp:inline>
        </w:drawing>
      </w:r>
    </w:p>
    <w:p w14:paraId="10DB8093" w14:textId="650039FB" w:rsidR="00A07719" w:rsidRDefault="00A07719" w:rsidP="00A07719">
      <w:pPr>
        <w:jc w:val="center"/>
        <w:rPr>
          <w:rFonts w:ascii="Times New Roman" w:hAnsi="Times New Roman" w:cs="Times New Roman"/>
        </w:rPr>
      </w:pPr>
      <w:r w:rsidRPr="00A07719">
        <w:rPr>
          <w:rFonts w:ascii="Times New Roman" w:hAnsi="Times New Roman" w:cs="Times New Roman"/>
        </w:rPr>
        <w:t>Figure 4.1: Historical NAV Trajectory for Evaluated Mutual Fund Schemes</w:t>
      </w:r>
      <w:r>
        <w:rPr>
          <w:rFonts w:ascii="Times New Roman" w:hAnsi="Times New Roman" w:cs="Times New Roman"/>
        </w:rPr>
        <w:br/>
      </w:r>
    </w:p>
    <w:p w14:paraId="00CB20CA" w14:textId="77777777" w:rsidR="00411F8C" w:rsidRDefault="00411F8C" w:rsidP="00A07719">
      <w:pPr>
        <w:jc w:val="center"/>
        <w:rPr>
          <w:rFonts w:ascii="Times New Roman" w:hAnsi="Times New Roman" w:cs="Times New Roman"/>
        </w:rPr>
      </w:pPr>
    </w:p>
    <w:p w14:paraId="2404D269" w14:textId="22E39840" w:rsidR="00A07719" w:rsidRDefault="00A07719" w:rsidP="00A07719">
      <w:pPr>
        <w:jc w:val="center"/>
        <w:rPr>
          <w:rFonts w:ascii="Times New Roman" w:hAnsi="Times New Roman" w:cs="Times New Roman"/>
        </w:rPr>
      </w:pPr>
      <w:r>
        <w:rPr>
          <w:noProof/>
        </w:rPr>
        <w:drawing>
          <wp:inline distT="0" distB="0" distL="0" distR="0" wp14:anchorId="0EE0A24F" wp14:editId="54BD48F2">
            <wp:extent cx="5153025" cy="2576513"/>
            <wp:effectExtent l="0" t="0" r="0" b="0"/>
            <wp:docPr id="15937861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57334" cy="2578667"/>
                    </a:xfrm>
                    <a:prstGeom prst="rect">
                      <a:avLst/>
                    </a:prstGeom>
                    <a:noFill/>
                    <a:ln>
                      <a:noFill/>
                    </a:ln>
                  </pic:spPr>
                </pic:pic>
              </a:graphicData>
            </a:graphic>
          </wp:inline>
        </w:drawing>
      </w:r>
    </w:p>
    <w:p w14:paraId="6C298CC5" w14:textId="260EA7D7" w:rsidR="00411F8C" w:rsidRPr="007E3BA0" w:rsidRDefault="00411F8C" w:rsidP="00411F8C">
      <w:pPr>
        <w:jc w:val="center"/>
        <w:rPr>
          <w:rFonts w:ascii="Times New Roman" w:hAnsi="Times New Roman" w:cs="Times New Roman"/>
        </w:rPr>
      </w:pPr>
      <w:r w:rsidRPr="00411F8C">
        <w:rPr>
          <w:rFonts w:ascii="Times New Roman" w:hAnsi="Times New Roman" w:cs="Times New Roman"/>
        </w:rPr>
        <w:t>4.2: Alpha-Beta Performance Comparison Matrix against Benchmarks</w:t>
      </w:r>
    </w:p>
    <w:p w14:paraId="64D2DA4C" w14:textId="77777777" w:rsidR="007E3BA0" w:rsidRPr="007E3BA0" w:rsidRDefault="007E3BA0" w:rsidP="007E3BA0">
      <w:pPr>
        <w:rPr>
          <w:rFonts w:ascii="Times New Roman" w:hAnsi="Times New Roman" w:cs="Times New Roman"/>
          <w:b/>
          <w:bCs/>
          <w:sz w:val="28"/>
          <w:szCs w:val="28"/>
        </w:rPr>
      </w:pPr>
      <w:r w:rsidRPr="007E3BA0">
        <w:rPr>
          <w:rFonts w:ascii="Times New Roman" w:hAnsi="Times New Roman" w:cs="Times New Roman"/>
          <w:b/>
          <w:bCs/>
          <w:sz w:val="28"/>
          <w:szCs w:val="28"/>
        </w:rPr>
        <w:lastRenderedPageBreak/>
        <w:t>4.2 Advanced Risk Analytics (</w:t>
      </w:r>
      <w:proofErr w:type="spellStart"/>
      <w:r w:rsidRPr="007E3BA0">
        <w:rPr>
          <w:rFonts w:ascii="Times New Roman" w:hAnsi="Times New Roman" w:cs="Times New Roman"/>
          <w:b/>
          <w:bCs/>
          <w:sz w:val="28"/>
          <w:szCs w:val="28"/>
        </w:rPr>
        <w:t>VaR</w:t>
      </w:r>
      <w:proofErr w:type="spellEnd"/>
      <w:r w:rsidRPr="007E3BA0">
        <w:rPr>
          <w:rFonts w:ascii="Times New Roman" w:hAnsi="Times New Roman" w:cs="Times New Roman"/>
          <w:b/>
          <w:bCs/>
          <w:sz w:val="28"/>
          <w:szCs w:val="28"/>
        </w:rPr>
        <w:t>, CVaR, HHI)</w:t>
      </w:r>
    </w:p>
    <w:p w14:paraId="080D94EB" w14:textId="77777777" w:rsidR="007E3BA0" w:rsidRPr="007E3BA0" w:rsidRDefault="007E3BA0" w:rsidP="007E3BA0">
      <w:pPr>
        <w:numPr>
          <w:ilvl w:val="0"/>
          <w:numId w:val="6"/>
        </w:numPr>
        <w:jc w:val="both"/>
        <w:rPr>
          <w:rFonts w:ascii="Times New Roman" w:hAnsi="Times New Roman" w:cs="Times New Roman"/>
        </w:rPr>
      </w:pPr>
      <w:r w:rsidRPr="007E3BA0">
        <w:rPr>
          <w:rFonts w:ascii="Times New Roman" w:hAnsi="Times New Roman" w:cs="Times New Roman"/>
          <w:b/>
          <w:bCs/>
        </w:rPr>
        <w:t>Value at Risk (</w:t>
      </w:r>
      <w:proofErr w:type="spellStart"/>
      <w:r w:rsidRPr="007E3BA0">
        <w:rPr>
          <w:rFonts w:ascii="Times New Roman" w:hAnsi="Times New Roman" w:cs="Times New Roman"/>
          <w:b/>
          <w:bCs/>
        </w:rPr>
        <w:t>VaR</w:t>
      </w:r>
      <w:proofErr w:type="spellEnd"/>
      <w:r w:rsidRPr="007E3BA0">
        <w:rPr>
          <w:rFonts w:ascii="Times New Roman" w:hAnsi="Times New Roman" w:cs="Times New Roman"/>
          <w:b/>
          <w:bCs/>
        </w:rPr>
        <w:t>):</w:t>
      </w:r>
      <w:r w:rsidRPr="007E3BA0">
        <w:rPr>
          <w:rFonts w:ascii="Times New Roman" w:hAnsi="Times New Roman" w:cs="Times New Roman"/>
        </w:rPr>
        <w:t xml:space="preserve"> Applied a 95% historical confidence interval to determine the maximum expected daily loss.</w:t>
      </w:r>
    </w:p>
    <w:p w14:paraId="0C169FCA" w14:textId="77777777" w:rsidR="007E3BA0" w:rsidRPr="007E3BA0" w:rsidRDefault="007E3BA0" w:rsidP="007E3BA0">
      <w:pPr>
        <w:numPr>
          <w:ilvl w:val="0"/>
          <w:numId w:val="6"/>
        </w:numPr>
        <w:jc w:val="both"/>
        <w:rPr>
          <w:rFonts w:ascii="Times New Roman" w:hAnsi="Times New Roman" w:cs="Times New Roman"/>
        </w:rPr>
      </w:pPr>
      <w:r w:rsidRPr="007E3BA0">
        <w:rPr>
          <w:rFonts w:ascii="Times New Roman" w:hAnsi="Times New Roman" w:cs="Times New Roman"/>
          <w:b/>
          <w:bCs/>
        </w:rPr>
        <w:t>Sector Concentration:</w:t>
      </w:r>
      <w:r w:rsidRPr="007E3BA0">
        <w:rPr>
          <w:rFonts w:ascii="Times New Roman" w:hAnsi="Times New Roman" w:cs="Times New Roman"/>
        </w:rPr>
        <w:t xml:space="preserve"> Utilized the Herfindahl-Hirschman Index (HHI) to flag funds over-exposed to specific sectors (e.g., Banking or IT). A higher HHI indicates a lack of diversification, increasing localized risk.</w:t>
      </w:r>
    </w:p>
    <w:p w14:paraId="5AFCC67F" w14:textId="77777777" w:rsidR="007E3BA0" w:rsidRDefault="007E3BA0" w:rsidP="007E3BA0">
      <w:pPr>
        <w:numPr>
          <w:ilvl w:val="0"/>
          <w:numId w:val="6"/>
        </w:numPr>
        <w:jc w:val="both"/>
        <w:rPr>
          <w:rFonts w:ascii="Times New Roman" w:hAnsi="Times New Roman" w:cs="Times New Roman"/>
        </w:rPr>
      </w:pPr>
      <w:r w:rsidRPr="007E3BA0">
        <w:rPr>
          <w:rFonts w:ascii="Times New Roman" w:hAnsi="Times New Roman" w:cs="Times New Roman"/>
          <w:b/>
          <w:bCs/>
        </w:rPr>
        <w:t>Rolling Metrics:</w:t>
      </w:r>
      <w:r w:rsidRPr="007E3BA0">
        <w:rPr>
          <w:rFonts w:ascii="Times New Roman" w:hAnsi="Times New Roman" w:cs="Times New Roman"/>
        </w:rPr>
        <w:t xml:space="preserve"> Visualized the 90-day Rolling Sharpe ratio to track the consistency of fund managers over time.</w:t>
      </w:r>
    </w:p>
    <w:p w14:paraId="72615BCC" w14:textId="351714FF" w:rsidR="007E3BA0" w:rsidRDefault="00411F8C" w:rsidP="007E3BA0">
      <w:pPr>
        <w:ind w:left="720"/>
        <w:rPr>
          <w:rFonts w:ascii="Times New Roman" w:hAnsi="Times New Roman" w:cs="Times New Roman"/>
        </w:rPr>
      </w:pPr>
      <w:r>
        <w:rPr>
          <w:noProof/>
        </w:rPr>
        <w:drawing>
          <wp:inline distT="0" distB="0" distL="0" distR="0" wp14:anchorId="70CD9B25" wp14:editId="1F3C84C0">
            <wp:extent cx="5362575" cy="2681288"/>
            <wp:effectExtent l="0" t="0" r="0" b="5080"/>
            <wp:docPr id="20942098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66287" cy="2683144"/>
                    </a:xfrm>
                    <a:prstGeom prst="rect">
                      <a:avLst/>
                    </a:prstGeom>
                    <a:noFill/>
                    <a:ln>
                      <a:noFill/>
                    </a:ln>
                  </pic:spPr>
                </pic:pic>
              </a:graphicData>
            </a:graphic>
          </wp:inline>
        </w:drawing>
      </w:r>
    </w:p>
    <w:p w14:paraId="7C222951" w14:textId="6ADC34D8" w:rsidR="00411F8C" w:rsidRDefault="00411F8C" w:rsidP="00411F8C">
      <w:pPr>
        <w:ind w:left="720"/>
        <w:jc w:val="center"/>
        <w:rPr>
          <w:rFonts w:ascii="Times New Roman" w:hAnsi="Times New Roman" w:cs="Times New Roman"/>
        </w:rPr>
      </w:pPr>
      <w:r w:rsidRPr="00411F8C">
        <w:rPr>
          <w:rFonts w:ascii="Times New Roman" w:hAnsi="Times New Roman" w:cs="Times New Roman"/>
        </w:rPr>
        <w:t>Figure 4.3: Portfolio Structural Risk and Sector Concentration (HHI)</w:t>
      </w:r>
    </w:p>
    <w:p w14:paraId="02FB845F" w14:textId="77777777" w:rsidR="00411F8C" w:rsidRDefault="00411F8C" w:rsidP="00411F8C">
      <w:pPr>
        <w:ind w:left="720"/>
        <w:jc w:val="center"/>
        <w:rPr>
          <w:rFonts w:ascii="Times New Roman" w:hAnsi="Times New Roman" w:cs="Times New Roman"/>
        </w:rPr>
      </w:pPr>
    </w:p>
    <w:p w14:paraId="790ABF92" w14:textId="6C7554BE" w:rsidR="00411F8C" w:rsidRDefault="00411F8C" w:rsidP="00411F8C">
      <w:pPr>
        <w:ind w:left="720"/>
        <w:jc w:val="center"/>
        <w:rPr>
          <w:rFonts w:ascii="Times New Roman" w:hAnsi="Times New Roman" w:cs="Times New Roman"/>
        </w:rPr>
      </w:pPr>
      <w:r>
        <w:rPr>
          <w:noProof/>
        </w:rPr>
        <w:drawing>
          <wp:inline distT="0" distB="0" distL="0" distR="0" wp14:anchorId="4E0EE3E1" wp14:editId="10301258">
            <wp:extent cx="5429250" cy="2698384"/>
            <wp:effectExtent l="0" t="0" r="0" b="6985"/>
            <wp:docPr id="1393055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31639" cy="2699571"/>
                    </a:xfrm>
                    <a:prstGeom prst="rect">
                      <a:avLst/>
                    </a:prstGeom>
                    <a:noFill/>
                    <a:ln>
                      <a:noFill/>
                    </a:ln>
                  </pic:spPr>
                </pic:pic>
              </a:graphicData>
            </a:graphic>
          </wp:inline>
        </w:drawing>
      </w:r>
    </w:p>
    <w:p w14:paraId="697E6B6A" w14:textId="6EFB39E5" w:rsidR="00411F8C" w:rsidRDefault="00411F8C" w:rsidP="00411F8C">
      <w:pPr>
        <w:ind w:left="720"/>
        <w:jc w:val="center"/>
        <w:rPr>
          <w:rFonts w:ascii="Times New Roman" w:hAnsi="Times New Roman" w:cs="Times New Roman"/>
        </w:rPr>
      </w:pPr>
      <w:r w:rsidRPr="00411F8C">
        <w:rPr>
          <w:rFonts w:ascii="Times New Roman" w:hAnsi="Times New Roman" w:cs="Times New Roman"/>
        </w:rPr>
        <w:t>Figure 4.4: 90-Day Rolling Sharpe Ratio Consistency Evaluation</w:t>
      </w:r>
    </w:p>
    <w:p w14:paraId="6A87AC2D" w14:textId="77777777" w:rsidR="00411F8C" w:rsidRDefault="00411F8C" w:rsidP="00411F8C">
      <w:pPr>
        <w:ind w:left="720"/>
        <w:jc w:val="center"/>
        <w:rPr>
          <w:rFonts w:ascii="Times New Roman" w:hAnsi="Times New Roman" w:cs="Times New Roman"/>
        </w:rPr>
      </w:pPr>
    </w:p>
    <w:p w14:paraId="7D669A0B" w14:textId="5CC6F5C8" w:rsidR="00411F8C" w:rsidRDefault="00411F8C" w:rsidP="00411F8C">
      <w:pPr>
        <w:ind w:left="720"/>
        <w:jc w:val="center"/>
        <w:rPr>
          <w:rFonts w:ascii="Times New Roman" w:hAnsi="Times New Roman" w:cs="Times New Roman"/>
        </w:rPr>
      </w:pPr>
      <w:r>
        <w:rPr>
          <w:noProof/>
        </w:rPr>
        <w:lastRenderedPageBreak/>
        <w:drawing>
          <wp:inline distT="0" distB="0" distL="0" distR="0" wp14:anchorId="73CE0515" wp14:editId="28FEE141">
            <wp:extent cx="5410200" cy="4598011"/>
            <wp:effectExtent l="0" t="0" r="0" b="0"/>
            <wp:docPr id="1976244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8759" cy="4605285"/>
                    </a:xfrm>
                    <a:prstGeom prst="rect">
                      <a:avLst/>
                    </a:prstGeom>
                    <a:noFill/>
                    <a:ln>
                      <a:noFill/>
                    </a:ln>
                  </pic:spPr>
                </pic:pic>
              </a:graphicData>
            </a:graphic>
          </wp:inline>
        </w:drawing>
      </w:r>
    </w:p>
    <w:p w14:paraId="07ADFB2E" w14:textId="0ACF8C47" w:rsidR="00411F8C" w:rsidRDefault="00411F8C" w:rsidP="00411F8C">
      <w:pPr>
        <w:ind w:left="720"/>
        <w:jc w:val="center"/>
        <w:rPr>
          <w:rFonts w:ascii="Times New Roman" w:hAnsi="Times New Roman" w:cs="Times New Roman"/>
        </w:rPr>
      </w:pPr>
      <w:r w:rsidRPr="00411F8C">
        <w:rPr>
          <w:rFonts w:ascii="Times New Roman" w:hAnsi="Times New Roman" w:cs="Times New Roman"/>
        </w:rPr>
        <w:t>Figure 4.5: Return Inter-dependency &amp; Cross-Correlation Heatmap</w:t>
      </w:r>
      <w:r>
        <w:rPr>
          <w:rFonts w:ascii="Times New Roman" w:hAnsi="Times New Roman" w:cs="Times New Roman"/>
        </w:rPr>
        <w:br/>
      </w:r>
    </w:p>
    <w:p w14:paraId="1805AAA0" w14:textId="77777777" w:rsidR="00411F8C" w:rsidRPr="00411F8C" w:rsidRDefault="00411F8C" w:rsidP="00411F8C">
      <w:pPr>
        <w:ind w:left="720"/>
        <w:jc w:val="center"/>
        <w:rPr>
          <w:rFonts w:ascii="Times New Roman" w:hAnsi="Times New Roman" w:cs="Times New Roman"/>
        </w:rPr>
      </w:pPr>
    </w:p>
    <w:p w14:paraId="2E57E63B" w14:textId="77777777" w:rsidR="007E3BA0" w:rsidRPr="007E3BA0" w:rsidRDefault="007E3BA0" w:rsidP="007E3BA0">
      <w:pPr>
        <w:rPr>
          <w:rFonts w:ascii="Times New Roman" w:hAnsi="Times New Roman" w:cs="Times New Roman"/>
          <w:b/>
          <w:bCs/>
          <w:sz w:val="32"/>
          <w:szCs w:val="32"/>
        </w:rPr>
      </w:pPr>
      <w:r w:rsidRPr="007E3BA0">
        <w:rPr>
          <w:rFonts w:ascii="Times New Roman" w:hAnsi="Times New Roman" w:cs="Times New Roman"/>
          <w:b/>
          <w:bCs/>
          <w:sz w:val="32"/>
          <w:szCs w:val="32"/>
        </w:rPr>
        <w:t>5. Dashboard Layout &amp; User Guide</w:t>
      </w:r>
    </w:p>
    <w:p w14:paraId="7D283514" w14:textId="77777777" w:rsidR="007E3BA0" w:rsidRPr="007E3BA0" w:rsidRDefault="007E3BA0" w:rsidP="007E3BA0">
      <w:pPr>
        <w:jc w:val="both"/>
        <w:rPr>
          <w:rFonts w:ascii="Times New Roman" w:hAnsi="Times New Roman" w:cs="Times New Roman"/>
        </w:rPr>
      </w:pPr>
      <w:r w:rsidRPr="007E3BA0">
        <w:rPr>
          <w:rFonts w:ascii="Times New Roman" w:hAnsi="Times New Roman" w:cs="Times New Roman"/>
        </w:rPr>
        <w:t>To democratize these insights, a comprehensive Power BI dashboard was deployed.</w:t>
      </w:r>
    </w:p>
    <w:p w14:paraId="0A8943B2" w14:textId="77777777" w:rsidR="007E3BA0" w:rsidRPr="007E3BA0" w:rsidRDefault="007E3BA0" w:rsidP="007E3BA0">
      <w:pPr>
        <w:jc w:val="both"/>
        <w:rPr>
          <w:rFonts w:ascii="Times New Roman" w:hAnsi="Times New Roman" w:cs="Times New Roman"/>
          <w:b/>
          <w:bCs/>
          <w:sz w:val="28"/>
          <w:szCs w:val="28"/>
        </w:rPr>
      </w:pPr>
      <w:r w:rsidRPr="007E3BA0">
        <w:rPr>
          <w:rFonts w:ascii="Times New Roman" w:hAnsi="Times New Roman" w:cs="Times New Roman"/>
          <w:b/>
          <w:bCs/>
          <w:sz w:val="28"/>
          <w:szCs w:val="28"/>
        </w:rPr>
        <w:t>5.1 Dashboard Navigation</w:t>
      </w:r>
    </w:p>
    <w:p w14:paraId="4EF6A7DB" w14:textId="77777777" w:rsidR="007E3BA0" w:rsidRPr="007E3BA0" w:rsidRDefault="007E3BA0" w:rsidP="007E3BA0">
      <w:pPr>
        <w:numPr>
          <w:ilvl w:val="0"/>
          <w:numId w:val="7"/>
        </w:numPr>
        <w:jc w:val="both"/>
        <w:rPr>
          <w:rFonts w:ascii="Times New Roman" w:hAnsi="Times New Roman" w:cs="Times New Roman"/>
        </w:rPr>
      </w:pPr>
      <w:r w:rsidRPr="007E3BA0">
        <w:rPr>
          <w:rFonts w:ascii="Times New Roman" w:hAnsi="Times New Roman" w:cs="Times New Roman"/>
          <w:b/>
          <w:bCs/>
        </w:rPr>
        <w:t>Industry Overview (Page 1):</w:t>
      </w:r>
      <w:r w:rsidRPr="007E3BA0">
        <w:rPr>
          <w:rFonts w:ascii="Times New Roman" w:hAnsi="Times New Roman" w:cs="Times New Roman"/>
        </w:rPr>
        <w:t xml:space="preserve"> Tracks macro KPIs, Folio counts, and AMC dominance.</w:t>
      </w:r>
    </w:p>
    <w:p w14:paraId="67924C21" w14:textId="77777777" w:rsidR="007E3BA0" w:rsidRPr="007E3BA0" w:rsidRDefault="007E3BA0" w:rsidP="007E3BA0">
      <w:pPr>
        <w:numPr>
          <w:ilvl w:val="0"/>
          <w:numId w:val="7"/>
        </w:numPr>
        <w:jc w:val="both"/>
        <w:rPr>
          <w:rFonts w:ascii="Times New Roman" w:hAnsi="Times New Roman" w:cs="Times New Roman"/>
        </w:rPr>
      </w:pPr>
      <w:r w:rsidRPr="007E3BA0">
        <w:rPr>
          <w:rFonts w:ascii="Times New Roman" w:hAnsi="Times New Roman" w:cs="Times New Roman"/>
          <w:b/>
          <w:bCs/>
        </w:rPr>
        <w:t>Fund Performance (Page 2):</w:t>
      </w:r>
      <w:r w:rsidRPr="007E3BA0">
        <w:rPr>
          <w:rFonts w:ascii="Times New Roman" w:hAnsi="Times New Roman" w:cs="Times New Roman"/>
        </w:rPr>
        <w:t xml:space="preserve"> Features a Risk vs. Reward scatter plot and the sortable Fund Scorecard Matrix.</w:t>
      </w:r>
    </w:p>
    <w:p w14:paraId="727F8A71" w14:textId="77777777" w:rsidR="007E3BA0" w:rsidRPr="007E3BA0" w:rsidRDefault="007E3BA0" w:rsidP="007E3BA0">
      <w:pPr>
        <w:numPr>
          <w:ilvl w:val="0"/>
          <w:numId w:val="7"/>
        </w:numPr>
        <w:jc w:val="both"/>
        <w:rPr>
          <w:rFonts w:ascii="Times New Roman" w:hAnsi="Times New Roman" w:cs="Times New Roman"/>
        </w:rPr>
      </w:pPr>
      <w:r w:rsidRPr="007E3BA0">
        <w:rPr>
          <w:rFonts w:ascii="Times New Roman" w:hAnsi="Times New Roman" w:cs="Times New Roman"/>
          <w:b/>
          <w:bCs/>
        </w:rPr>
        <w:t>Investor Analytics (Page 3):</w:t>
      </w:r>
      <w:r w:rsidRPr="007E3BA0">
        <w:rPr>
          <w:rFonts w:ascii="Times New Roman" w:hAnsi="Times New Roman" w:cs="Times New Roman"/>
        </w:rPr>
        <w:t xml:space="preserve"> Visualizes demographic breakdowns, SIP vs. Lumpsum ratios, and state-wise contributions.</w:t>
      </w:r>
    </w:p>
    <w:p w14:paraId="21EF05F1" w14:textId="77777777" w:rsidR="007E3BA0" w:rsidRDefault="007E3BA0" w:rsidP="007E3BA0">
      <w:pPr>
        <w:numPr>
          <w:ilvl w:val="0"/>
          <w:numId w:val="7"/>
        </w:numPr>
        <w:jc w:val="both"/>
        <w:rPr>
          <w:rFonts w:ascii="Times New Roman" w:hAnsi="Times New Roman" w:cs="Times New Roman"/>
        </w:rPr>
      </w:pPr>
      <w:r w:rsidRPr="007E3BA0">
        <w:rPr>
          <w:rFonts w:ascii="Times New Roman" w:hAnsi="Times New Roman" w:cs="Times New Roman"/>
          <w:b/>
          <w:bCs/>
        </w:rPr>
        <w:t>Market Trends (Page 4):</w:t>
      </w:r>
      <w:r w:rsidRPr="007E3BA0">
        <w:rPr>
          <w:rFonts w:ascii="Times New Roman" w:hAnsi="Times New Roman" w:cs="Times New Roman"/>
        </w:rPr>
        <w:t xml:space="preserve"> Dual-axis charts correlating Nifty 50 movements with retail SIP inflows.</w:t>
      </w:r>
    </w:p>
    <w:p w14:paraId="44A3B6F7" w14:textId="77777777" w:rsidR="007E3BA0" w:rsidRDefault="007E3BA0" w:rsidP="007E3BA0">
      <w:pPr>
        <w:ind w:left="720"/>
        <w:jc w:val="both"/>
        <w:rPr>
          <w:rFonts w:ascii="Times New Roman" w:hAnsi="Times New Roman" w:cs="Times New Roman"/>
        </w:rPr>
      </w:pPr>
    </w:p>
    <w:p w14:paraId="4B020E24" w14:textId="77777777" w:rsidR="00411F8C" w:rsidRDefault="00411F8C" w:rsidP="007E3BA0">
      <w:pPr>
        <w:ind w:left="720"/>
        <w:jc w:val="both"/>
        <w:rPr>
          <w:rFonts w:ascii="Times New Roman" w:hAnsi="Times New Roman" w:cs="Times New Roman"/>
        </w:rPr>
      </w:pPr>
    </w:p>
    <w:p w14:paraId="7134ECE6" w14:textId="77777777" w:rsidR="00411F8C" w:rsidRDefault="00411F8C" w:rsidP="007E3BA0">
      <w:pPr>
        <w:ind w:left="720"/>
        <w:jc w:val="both"/>
      </w:pPr>
      <w:r>
        <w:rPr>
          <w:noProof/>
        </w:rPr>
        <w:lastRenderedPageBreak/>
        <w:drawing>
          <wp:inline distT="0" distB="0" distL="0" distR="0" wp14:anchorId="26D5816D" wp14:editId="172454F1">
            <wp:extent cx="4520784" cy="3133725"/>
            <wp:effectExtent l="0" t="0" r="0" b="0"/>
            <wp:docPr id="15340214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8">
                      <a:extLst>
                        <a:ext uri="{28A0092B-C50C-407E-A947-70E740481C1C}">
                          <a14:useLocalDpi xmlns:a14="http://schemas.microsoft.com/office/drawing/2010/main" val="0"/>
                        </a:ext>
                      </a:extLst>
                    </a:blip>
                    <a:srcRect t="4601" r="26878" b="7671"/>
                    <a:stretch>
                      <a:fillRect/>
                    </a:stretch>
                  </pic:blipFill>
                  <pic:spPr bwMode="auto">
                    <a:xfrm>
                      <a:off x="0" y="0"/>
                      <a:ext cx="4524112" cy="3136032"/>
                    </a:xfrm>
                    <a:prstGeom prst="rect">
                      <a:avLst/>
                    </a:prstGeom>
                    <a:noFill/>
                    <a:ln>
                      <a:noFill/>
                    </a:ln>
                    <a:extLst>
                      <a:ext uri="{53640926-AAD7-44D8-BBD7-CCE9431645EC}">
                        <a14:shadowObscured xmlns:a14="http://schemas.microsoft.com/office/drawing/2010/main"/>
                      </a:ext>
                    </a:extLst>
                  </pic:spPr>
                </pic:pic>
              </a:graphicData>
            </a:graphic>
          </wp:inline>
        </w:drawing>
      </w:r>
      <w:r w:rsidRPr="00411F8C">
        <w:t xml:space="preserve"> </w:t>
      </w:r>
    </w:p>
    <w:p w14:paraId="029E1A09" w14:textId="1745F0D6" w:rsidR="00411F8C" w:rsidRDefault="00411F8C" w:rsidP="00411F8C">
      <w:pPr>
        <w:ind w:left="720"/>
        <w:jc w:val="center"/>
        <w:rPr>
          <w:rFonts w:ascii="Times New Roman" w:hAnsi="Times New Roman" w:cs="Times New Roman"/>
        </w:rPr>
      </w:pPr>
      <w:r w:rsidRPr="00411F8C">
        <w:rPr>
          <w:rFonts w:ascii="Times New Roman" w:hAnsi="Times New Roman" w:cs="Times New Roman"/>
        </w:rPr>
        <w:t>Figure 5.1: Power BI Interface - Executive Industry KPI Dashboard</w:t>
      </w:r>
    </w:p>
    <w:p w14:paraId="3FFB3196" w14:textId="77777777" w:rsidR="00411F8C" w:rsidRDefault="00411F8C" w:rsidP="007E3BA0">
      <w:pPr>
        <w:ind w:left="720"/>
        <w:jc w:val="both"/>
        <w:rPr>
          <w:rFonts w:ascii="Times New Roman" w:hAnsi="Times New Roman" w:cs="Times New Roman"/>
        </w:rPr>
      </w:pPr>
    </w:p>
    <w:p w14:paraId="09EA681E" w14:textId="77777777" w:rsidR="00411F8C" w:rsidRDefault="00411F8C" w:rsidP="007E3BA0">
      <w:pPr>
        <w:ind w:left="720"/>
        <w:jc w:val="both"/>
        <w:rPr>
          <w:rFonts w:ascii="Times New Roman" w:hAnsi="Times New Roman" w:cs="Times New Roman"/>
        </w:rPr>
      </w:pPr>
    </w:p>
    <w:p w14:paraId="127D6770" w14:textId="6793DAE4" w:rsidR="00411F8C" w:rsidRDefault="00411F8C" w:rsidP="007E3BA0">
      <w:pPr>
        <w:ind w:left="720"/>
        <w:jc w:val="both"/>
        <w:rPr>
          <w:rFonts w:ascii="Times New Roman" w:hAnsi="Times New Roman" w:cs="Times New Roman"/>
        </w:rPr>
      </w:pPr>
      <w:r>
        <w:rPr>
          <w:noProof/>
        </w:rPr>
        <w:drawing>
          <wp:inline distT="0" distB="0" distL="0" distR="0" wp14:anchorId="10C314EB" wp14:editId="52C1EE44">
            <wp:extent cx="4632241" cy="3505200"/>
            <wp:effectExtent l="0" t="0" r="0" b="0"/>
            <wp:docPr id="7163318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19">
                      <a:extLst>
                        <a:ext uri="{28A0092B-C50C-407E-A947-70E740481C1C}">
                          <a14:useLocalDpi xmlns:a14="http://schemas.microsoft.com/office/drawing/2010/main" val="0"/>
                        </a:ext>
                      </a:extLst>
                    </a:blip>
                    <a:srcRect r="25549" b="2921"/>
                    <a:stretch>
                      <a:fillRect/>
                    </a:stretch>
                  </pic:blipFill>
                  <pic:spPr bwMode="auto">
                    <a:xfrm>
                      <a:off x="0" y="0"/>
                      <a:ext cx="4634293" cy="3506753"/>
                    </a:xfrm>
                    <a:prstGeom prst="rect">
                      <a:avLst/>
                    </a:prstGeom>
                    <a:noFill/>
                    <a:ln>
                      <a:noFill/>
                    </a:ln>
                    <a:extLst>
                      <a:ext uri="{53640926-AAD7-44D8-BBD7-CCE9431645EC}">
                        <a14:shadowObscured xmlns:a14="http://schemas.microsoft.com/office/drawing/2010/main"/>
                      </a:ext>
                    </a:extLst>
                  </pic:spPr>
                </pic:pic>
              </a:graphicData>
            </a:graphic>
          </wp:inline>
        </w:drawing>
      </w:r>
    </w:p>
    <w:p w14:paraId="79F88F4E" w14:textId="066BE6E2" w:rsidR="00411F8C" w:rsidRDefault="00411F8C" w:rsidP="007E3BA0">
      <w:pPr>
        <w:ind w:left="720"/>
        <w:jc w:val="both"/>
        <w:rPr>
          <w:rFonts w:ascii="Times New Roman" w:hAnsi="Times New Roman" w:cs="Times New Roman"/>
        </w:rPr>
      </w:pPr>
      <w:r w:rsidRPr="00411F8C">
        <w:rPr>
          <w:rFonts w:ascii="Times New Roman" w:hAnsi="Times New Roman" w:cs="Times New Roman"/>
        </w:rPr>
        <w:t>Figure 5.2: Power BI Interface - Fund Performance &amp; Risk-Return Scatter Plot</w:t>
      </w:r>
    </w:p>
    <w:p w14:paraId="680AFFDB" w14:textId="77777777" w:rsidR="00411F8C" w:rsidRDefault="00411F8C" w:rsidP="007E3BA0">
      <w:pPr>
        <w:ind w:left="720"/>
        <w:jc w:val="both"/>
        <w:rPr>
          <w:rFonts w:ascii="Times New Roman" w:hAnsi="Times New Roman" w:cs="Times New Roman"/>
        </w:rPr>
      </w:pPr>
    </w:p>
    <w:p w14:paraId="4AB2B44B" w14:textId="77777777" w:rsidR="00411F8C" w:rsidRDefault="00411F8C" w:rsidP="007E3BA0">
      <w:pPr>
        <w:ind w:left="720"/>
        <w:jc w:val="both"/>
        <w:rPr>
          <w:rFonts w:ascii="Times New Roman" w:hAnsi="Times New Roman" w:cs="Times New Roman"/>
        </w:rPr>
      </w:pPr>
    </w:p>
    <w:p w14:paraId="65938200" w14:textId="5FF9CEEB" w:rsidR="00411F8C" w:rsidRDefault="00411F8C" w:rsidP="007E3BA0">
      <w:pPr>
        <w:ind w:left="720"/>
        <w:jc w:val="both"/>
        <w:rPr>
          <w:rFonts w:ascii="Times New Roman" w:hAnsi="Times New Roman" w:cs="Times New Roman"/>
        </w:rPr>
      </w:pPr>
      <w:r>
        <w:rPr>
          <w:noProof/>
        </w:rPr>
        <w:lastRenderedPageBreak/>
        <w:drawing>
          <wp:inline distT="0" distB="0" distL="0" distR="0" wp14:anchorId="362FBB4B" wp14:editId="09D5C2A8">
            <wp:extent cx="5175885" cy="3038475"/>
            <wp:effectExtent l="0" t="0" r="5715" b="9525"/>
            <wp:docPr id="5431341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20">
                      <a:extLst>
                        <a:ext uri="{28A0092B-C50C-407E-A947-70E740481C1C}">
                          <a14:useLocalDpi xmlns:a14="http://schemas.microsoft.com/office/drawing/2010/main" val="0"/>
                        </a:ext>
                      </a:extLst>
                    </a:blip>
                    <a:srcRect t="3735" r="17904" b="12948"/>
                    <a:stretch>
                      <a:fillRect/>
                    </a:stretch>
                  </pic:blipFill>
                  <pic:spPr bwMode="auto">
                    <a:xfrm>
                      <a:off x="0" y="0"/>
                      <a:ext cx="5180756" cy="3041334"/>
                    </a:xfrm>
                    <a:prstGeom prst="rect">
                      <a:avLst/>
                    </a:prstGeom>
                    <a:noFill/>
                    <a:ln>
                      <a:noFill/>
                    </a:ln>
                    <a:extLst>
                      <a:ext uri="{53640926-AAD7-44D8-BBD7-CCE9431645EC}">
                        <a14:shadowObscured xmlns:a14="http://schemas.microsoft.com/office/drawing/2010/main"/>
                      </a:ext>
                    </a:extLst>
                  </pic:spPr>
                </pic:pic>
              </a:graphicData>
            </a:graphic>
          </wp:inline>
        </w:drawing>
      </w:r>
    </w:p>
    <w:p w14:paraId="0084B040" w14:textId="10BCDCD9" w:rsidR="00411F8C" w:rsidRDefault="00411F8C" w:rsidP="00411F8C">
      <w:pPr>
        <w:ind w:left="720"/>
        <w:jc w:val="center"/>
        <w:rPr>
          <w:rFonts w:ascii="Times New Roman" w:hAnsi="Times New Roman" w:cs="Times New Roman"/>
        </w:rPr>
      </w:pPr>
      <w:r w:rsidRPr="00411F8C">
        <w:rPr>
          <w:rFonts w:ascii="Times New Roman" w:hAnsi="Times New Roman" w:cs="Times New Roman"/>
        </w:rPr>
        <w:t xml:space="preserve">Figure 5.3: Power BI Interface - Investor Demographics and </w:t>
      </w:r>
      <w:proofErr w:type="spellStart"/>
      <w:r w:rsidRPr="00411F8C">
        <w:rPr>
          <w:rFonts w:ascii="Times New Roman" w:hAnsi="Times New Roman" w:cs="Times New Roman"/>
        </w:rPr>
        <w:t>Behavioral</w:t>
      </w:r>
      <w:proofErr w:type="spellEnd"/>
      <w:r w:rsidRPr="00411F8C">
        <w:rPr>
          <w:rFonts w:ascii="Times New Roman" w:hAnsi="Times New Roman" w:cs="Times New Roman"/>
        </w:rPr>
        <w:t xml:space="preserve"> Insights</w:t>
      </w:r>
    </w:p>
    <w:p w14:paraId="72E73AC9" w14:textId="77777777" w:rsidR="00411F8C" w:rsidRDefault="00411F8C" w:rsidP="00411F8C">
      <w:pPr>
        <w:ind w:left="720"/>
        <w:jc w:val="center"/>
        <w:rPr>
          <w:rFonts w:ascii="Times New Roman" w:hAnsi="Times New Roman" w:cs="Times New Roman"/>
        </w:rPr>
      </w:pPr>
    </w:p>
    <w:p w14:paraId="5BCADA93" w14:textId="77777777" w:rsidR="00411F8C" w:rsidRDefault="00411F8C" w:rsidP="00411F8C">
      <w:pPr>
        <w:ind w:left="720"/>
        <w:jc w:val="center"/>
        <w:rPr>
          <w:rFonts w:ascii="Times New Roman" w:hAnsi="Times New Roman" w:cs="Times New Roman"/>
        </w:rPr>
      </w:pPr>
    </w:p>
    <w:p w14:paraId="14C09D8F" w14:textId="5F23901B" w:rsidR="00411F8C" w:rsidRDefault="00411F8C" w:rsidP="00411F8C">
      <w:pPr>
        <w:ind w:left="720"/>
        <w:jc w:val="center"/>
        <w:rPr>
          <w:rFonts w:ascii="Times New Roman" w:hAnsi="Times New Roman" w:cs="Times New Roman"/>
        </w:rPr>
      </w:pPr>
      <w:r>
        <w:rPr>
          <w:noProof/>
        </w:rPr>
        <w:drawing>
          <wp:inline distT="0" distB="0" distL="0" distR="0" wp14:anchorId="2609458A" wp14:editId="4BA9D24D">
            <wp:extent cx="5014485" cy="3962400"/>
            <wp:effectExtent l="0" t="0" r="0" b="0"/>
            <wp:docPr id="12338159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21">
                      <a:extLst>
                        <a:ext uri="{28A0092B-C50C-407E-A947-70E740481C1C}">
                          <a14:useLocalDpi xmlns:a14="http://schemas.microsoft.com/office/drawing/2010/main" val="0"/>
                        </a:ext>
                      </a:extLst>
                    </a:blip>
                    <a:srcRect t="6032" r="39010" b="10650"/>
                    <a:stretch>
                      <a:fillRect/>
                    </a:stretch>
                  </pic:blipFill>
                  <pic:spPr bwMode="auto">
                    <a:xfrm>
                      <a:off x="0" y="0"/>
                      <a:ext cx="5031977" cy="3976222"/>
                    </a:xfrm>
                    <a:prstGeom prst="rect">
                      <a:avLst/>
                    </a:prstGeom>
                    <a:noFill/>
                    <a:ln>
                      <a:noFill/>
                    </a:ln>
                    <a:extLst>
                      <a:ext uri="{53640926-AAD7-44D8-BBD7-CCE9431645EC}">
                        <a14:shadowObscured xmlns:a14="http://schemas.microsoft.com/office/drawing/2010/main"/>
                      </a:ext>
                    </a:extLst>
                  </pic:spPr>
                </pic:pic>
              </a:graphicData>
            </a:graphic>
          </wp:inline>
        </w:drawing>
      </w:r>
    </w:p>
    <w:p w14:paraId="23F58CB7" w14:textId="56FBF69F" w:rsidR="00411F8C" w:rsidRDefault="00411F8C" w:rsidP="00411F8C">
      <w:pPr>
        <w:ind w:left="720"/>
        <w:jc w:val="center"/>
        <w:rPr>
          <w:rFonts w:ascii="Times New Roman" w:hAnsi="Times New Roman" w:cs="Times New Roman"/>
        </w:rPr>
      </w:pPr>
      <w:r w:rsidRPr="00411F8C">
        <w:rPr>
          <w:rFonts w:ascii="Times New Roman" w:hAnsi="Times New Roman" w:cs="Times New Roman"/>
        </w:rPr>
        <w:t>Figure 5.4: Power BI Interface - Market Trends and Macro Correlations</w:t>
      </w:r>
    </w:p>
    <w:p w14:paraId="425BF0CF" w14:textId="77777777" w:rsidR="00411F8C" w:rsidRPr="007E3BA0" w:rsidRDefault="00411F8C" w:rsidP="007E3BA0">
      <w:pPr>
        <w:ind w:left="720"/>
        <w:jc w:val="both"/>
        <w:rPr>
          <w:rFonts w:ascii="Times New Roman" w:hAnsi="Times New Roman" w:cs="Times New Roman"/>
        </w:rPr>
      </w:pPr>
    </w:p>
    <w:p w14:paraId="69C3AFD0" w14:textId="77777777" w:rsidR="007E3BA0" w:rsidRPr="007E3BA0" w:rsidRDefault="007E3BA0" w:rsidP="007E3BA0">
      <w:pPr>
        <w:rPr>
          <w:rFonts w:ascii="Times New Roman" w:hAnsi="Times New Roman" w:cs="Times New Roman"/>
          <w:b/>
          <w:bCs/>
          <w:sz w:val="32"/>
          <w:szCs w:val="32"/>
        </w:rPr>
      </w:pPr>
      <w:r w:rsidRPr="007E3BA0">
        <w:rPr>
          <w:rFonts w:ascii="Times New Roman" w:hAnsi="Times New Roman" w:cs="Times New Roman"/>
          <w:b/>
          <w:bCs/>
          <w:sz w:val="32"/>
          <w:szCs w:val="32"/>
        </w:rPr>
        <w:lastRenderedPageBreak/>
        <w:t xml:space="preserve">6. Strategic Recommendations for </w:t>
      </w:r>
      <w:proofErr w:type="spellStart"/>
      <w:r w:rsidRPr="007E3BA0">
        <w:rPr>
          <w:rFonts w:ascii="Times New Roman" w:hAnsi="Times New Roman" w:cs="Times New Roman"/>
          <w:b/>
          <w:bCs/>
          <w:sz w:val="32"/>
          <w:szCs w:val="32"/>
        </w:rPr>
        <w:t>Bluestock</w:t>
      </w:r>
      <w:proofErr w:type="spellEnd"/>
      <w:r w:rsidRPr="007E3BA0">
        <w:rPr>
          <w:rFonts w:ascii="Times New Roman" w:hAnsi="Times New Roman" w:cs="Times New Roman"/>
          <w:b/>
          <w:bCs/>
          <w:sz w:val="32"/>
          <w:szCs w:val="32"/>
        </w:rPr>
        <w:t xml:space="preserve"> Fintech</w:t>
      </w:r>
    </w:p>
    <w:p w14:paraId="133CA06C" w14:textId="77777777" w:rsidR="007E3BA0" w:rsidRPr="007E3BA0" w:rsidRDefault="007E3BA0" w:rsidP="007E3BA0">
      <w:pPr>
        <w:jc w:val="both"/>
        <w:rPr>
          <w:rFonts w:ascii="Times New Roman" w:hAnsi="Times New Roman" w:cs="Times New Roman"/>
        </w:rPr>
      </w:pPr>
      <w:r w:rsidRPr="007E3BA0">
        <w:rPr>
          <w:rFonts w:ascii="Times New Roman" w:hAnsi="Times New Roman" w:cs="Times New Roman"/>
        </w:rPr>
        <w:t>Based on the data models and analytics, the following strategies are recommended for business growth:</w:t>
      </w:r>
    </w:p>
    <w:p w14:paraId="17E30B41" w14:textId="77777777" w:rsidR="007E3BA0" w:rsidRPr="007E3BA0" w:rsidRDefault="007E3BA0" w:rsidP="007E3BA0">
      <w:pPr>
        <w:numPr>
          <w:ilvl w:val="0"/>
          <w:numId w:val="8"/>
        </w:numPr>
        <w:jc w:val="both"/>
        <w:rPr>
          <w:rFonts w:ascii="Times New Roman" w:hAnsi="Times New Roman" w:cs="Times New Roman"/>
        </w:rPr>
      </w:pPr>
      <w:r w:rsidRPr="007E3BA0">
        <w:rPr>
          <w:rFonts w:ascii="Times New Roman" w:hAnsi="Times New Roman" w:cs="Times New Roman"/>
          <w:b/>
          <w:bCs/>
        </w:rPr>
        <w:t>Deploy Robo-Advisory Services:</w:t>
      </w:r>
      <w:r w:rsidRPr="007E3BA0">
        <w:rPr>
          <w:rFonts w:ascii="Times New Roman" w:hAnsi="Times New Roman" w:cs="Times New Roman"/>
        </w:rPr>
        <w:t xml:space="preserve"> Utilize the developed Python Recommender logic to offer personalized, automated fund baskets based on an investor’s exact risk appetite (Low/Moderate/High).</w:t>
      </w:r>
    </w:p>
    <w:p w14:paraId="7C33830B" w14:textId="77777777" w:rsidR="007E3BA0" w:rsidRPr="007E3BA0" w:rsidRDefault="007E3BA0" w:rsidP="007E3BA0">
      <w:pPr>
        <w:numPr>
          <w:ilvl w:val="0"/>
          <w:numId w:val="8"/>
        </w:numPr>
        <w:jc w:val="both"/>
        <w:rPr>
          <w:rFonts w:ascii="Times New Roman" w:hAnsi="Times New Roman" w:cs="Times New Roman"/>
        </w:rPr>
      </w:pPr>
      <w:r w:rsidRPr="007E3BA0">
        <w:rPr>
          <w:rFonts w:ascii="Times New Roman" w:hAnsi="Times New Roman" w:cs="Times New Roman"/>
          <w:b/>
          <w:bCs/>
        </w:rPr>
        <w:t>Proactive Churn Management:</w:t>
      </w:r>
      <w:r w:rsidRPr="007E3BA0">
        <w:rPr>
          <w:rFonts w:ascii="Times New Roman" w:hAnsi="Times New Roman" w:cs="Times New Roman"/>
        </w:rPr>
        <w:t xml:space="preserve"> The cohort analysis identified 'at-risk' investors based on SIP payment gaps. Implementing automated nudges or relationship manager interventions for the 2025 cohort can significantly reduce churn.</w:t>
      </w:r>
    </w:p>
    <w:p w14:paraId="5F37334E" w14:textId="77777777" w:rsidR="007E3BA0" w:rsidRDefault="007E3BA0" w:rsidP="007E3BA0">
      <w:pPr>
        <w:numPr>
          <w:ilvl w:val="0"/>
          <w:numId w:val="8"/>
        </w:numPr>
        <w:jc w:val="both"/>
        <w:rPr>
          <w:rFonts w:ascii="Times New Roman" w:hAnsi="Times New Roman" w:cs="Times New Roman"/>
        </w:rPr>
      </w:pPr>
      <w:r w:rsidRPr="007E3BA0">
        <w:rPr>
          <w:rFonts w:ascii="Times New Roman" w:hAnsi="Times New Roman" w:cs="Times New Roman"/>
          <w:b/>
          <w:bCs/>
        </w:rPr>
        <w:t>Dynamic Risk Alerts:</w:t>
      </w:r>
      <w:r w:rsidRPr="007E3BA0">
        <w:rPr>
          <w:rFonts w:ascii="Times New Roman" w:hAnsi="Times New Roman" w:cs="Times New Roman"/>
        </w:rPr>
        <w:t xml:space="preserve"> Offer a premium feature that alerts investors when their portfolio's HHI concentration exceeds safe thresholds, prompting portfolio rebalancing.</w:t>
      </w:r>
    </w:p>
    <w:p w14:paraId="6A6D89BC" w14:textId="77777777" w:rsidR="007E3BA0" w:rsidRDefault="007E3BA0" w:rsidP="007E3BA0">
      <w:pPr>
        <w:jc w:val="both"/>
        <w:rPr>
          <w:rFonts w:ascii="Times New Roman" w:hAnsi="Times New Roman" w:cs="Times New Roman"/>
        </w:rPr>
      </w:pPr>
    </w:p>
    <w:p w14:paraId="394FBDDB" w14:textId="77777777" w:rsidR="007E3BA0" w:rsidRPr="007E3BA0" w:rsidRDefault="007E3BA0" w:rsidP="007E3BA0">
      <w:pPr>
        <w:jc w:val="both"/>
        <w:rPr>
          <w:rFonts w:ascii="Times New Roman" w:hAnsi="Times New Roman" w:cs="Times New Roman"/>
        </w:rPr>
      </w:pPr>
    </w:p>
    <w:p w14:paraId="63B83058" w14:textId="77777777" w:rsidR="007E3BA0" w:rsidRPr="007E3BA0" w:rsidRDefault="007E3BA0" w:rsidP="007E3BA0">
      <w:pPr>
        <w:rPr>
          <w:rFonts w:ascii="Times New Roman" w:hAnsi="Times New Roman" w:cs="Times New Roman"/>
          <w:b/>
          <w:bCs/>
          <w:sz w:val="32"/>
          <w:szCs w:val="32"/>
        </w:rPr>
      </w:pPr>
      <w:r w:rsidRPr="007E3BA0">
        <w:rPr>
          <w:rFonts w:ascii="Times New Roman" w:hAnsi="Times New Roman" w:cs="Times New Roman"/>
          <w:b/>
          <w:bCs/>
          <w:sz w:val="32"/>
          <w:szCs w:val="32"/>
        </w:rPr>
        <w:t>7. Project Limitations &amp; Future Scope</w:t>
      </w:r>
    </w:p>
    <w:p w14:paraId="2C238739" w14:textId="77777777" w:rsidR="007E3BA0" w:rsidRPr="007E3BA0" w:rsidRDefault="007E3BA0" w:rsidP="007E3BA0">
      <w:pPr>
        <w:numPr>
          <w:ilvl w:val="0"/>
          <w:numId w:val="9"/>
        </w:numPr>
        <w:jc w:val="both"/>
        <w:rPr>
          <w:rFonts w:ascii="Times New Roman" w:hAnsi="Times New Roman" w:cs="Times New Roman"/>
        </w:rPr>
      </w:pPr>
      <w:r w:rsidRPr="007E3BA0">
        <w:rPr>
          <w:rFonts w:ascii="Times New Roman" w:hAnsi="Times New Roman" w:cs="Times New Roman"/>
          <w:b/>
          <w:bCs/>
        </w:rPr>
        <w:t>Limitations:</w:t>
      </w:r>
      <w:r w:rsidRPr="007E3BA0">
        <w:rPr>
          <w:rFonts w:ascii="Times New Roman" w:hAnsi="Times New Roman" w:cs="Times New Roman"/>
        </w:rPr>
        <w:t xml:space="preserve"> The </w:t>
      </w:r>
      <w:proofErr w:type="spellStart"/>
      <w:r w:rsidRPr="007E3BA0">
        <w:rPr>
          <w:rFonts w:ascii="Times New Roman" w:hAnsi="Times New Roman" w:cs="Times New Roman"/>
        </w:rPr>
        <w:t>VaR</w:t>
      </w:r>
      <w:proofErr w:type="spellEnd"/>
      <w:r w:rsidRPr="007E3BA0">
        <w:rPr>
          <w:rFonts w:ascii="Times New Roman" w:hAnsi="Times New Roman" w:cs="Times New Roman"/>
        </w:rPr>
        <w:t xml:space="preserve"> calculation currently relies on historical distribution, which may not accurately predict unprecedented 'Black Swan' market events. Furthermore, real-time API integrations are subject to rate limits.</w:t>
      </w:r>
    </w:p>
    <w:p w14:paraId="6A0754B8" w14:textId="77777777" w:rsidR="007E3BA0" w:rsidRPr="007E3BA0" w:rsidRDefault="007E3BA0" w:rsidP="007E3BA0">
      <w:pPr>
        <w:numPr>
          <w:ilvl w:val="0"/>
          <w:numId w:val="9"/>
        </w:numPr>
        <w:jc w:val="both"/>
        <w:rPr>
          <w:rFonts w:ascii="Times New Roman" w:hAnsi="Times New Roman" w:cs="Times New Roman"/>
        </w:rPr>
      </w:pPr>
      <w:r w:rsidRPr="007E3BA0">
        <w:rPr>
          <w:rFonts w:ascii="Times New Roman" w:hAnsi="Times New Roman" w:cs="Times New Roman"/>
          <w:b/>
          <w:bCs/>
        </w:rPr>
        <w:t>Future Scope:</w:t>
      </w:r>
      <w:r w:rsidRPr="007E3BA0">
        <w:rPr>
          <w:rFonts w:ascii="Times New Roman" w:hAnsi="Times New Roman" w:cs="Times New Roman"/>
        </w:rPr>
        <w:t xml:space="preserve"> * </w:t>
      </w:r>
      <w:r w:rsidRPr="007E3BA0">
        <w:rPr>
          <w:rFonts w:ascii="Times New Roman" w:hAnsi="Times New Roman" w:cs="Times New Roman"/>
          <w:b/>
          <w:bCs/>
        </w:rPr>
        <w:t>Machine Learning Integration:</w:t>
      </w:r>
      <w:r w:rsidRPr="007E3BA0">
        <w:rPr>
          <w:rFonts w:ascii="Times New Roman" w:hAnsi="Times New Roman" w:cs="Times New Roman"/>
        </w:rPr>
        <w:t xml:space="preserve"> Implement predictive models (e.g., LSTM or ARIMA) to forecast short-term NAV movements.</w:t>
      </w:r>
    </w:p>
    <w:p w14:paraId="364A0DD5" w14:textId="77777777" w:rsidR="007E3BA0" w:rsidRPr="007E3BA0" w:rsidRDefault="007E3BA0" w:rsidP="007E3BA0">
      <w:pPr>
        <w:numPr>
          <w:ilvl w:val="1"/>
          <w:numId w:val="9"/>
        </w:numPr>
        <w:jc w:val="both"/>
        <w:rPr>
          <w:rFonts w:ascii="Times New Roman" w:hAnsi="Times New Roman" w:cs="Times New Roman"/>
        </w:rPr>
      </w:pPr>
      <w:r w:rsidRPr="007E3BA0">
        <w:rPr>
          <w:rFonts w:ascii="Times New Roman" w:hAnsi="Times New Roman" w:cs="Times New Roman"/>
          <w:b/>
          <w:bCs/>
        </w:rPr>
        <w:t>Sentiment Analysis:</w:t>
      </w:r>
      <w:r w:rsidRPr="007E3BA0">
        <w:rPr>
          <w:rFonts w:ascii="Times New Roman" w:hAnsi="Times New Roman" w:cs="Times New Roman"/>
        </w:rPr>
        <w:t xml:space="preserve"> Integrate NLP models to </w:t>
      </w:r>
      <w:proofErr w:type="spellStart"/>
      <w:r w:rsidRPr="007E3BA0">
        <w:rPr>
          <w:rFonts w:ascii="Times New Roman" w:hAnsi="Times New Roman" w:cs="Times New Roman"/>
        </w:rPr>
        <w:t>analyze</w:t>
      </w:r>
      <w:proofErr w:type="spellEnd"/>
      <w:r w:rsidRPr="007E3BA0">
        <w:rPr>
          <w:rFonts w:ascii="Times New Roman" w:hAnsi="Times New Roman" w:cs="Times New Roman"/>
        </w:rPr>
        <w:t xml:space="preserve"> financial news and Twitter sentiment to adjust the Fund Scorecard dynamically based on market mood.</w:t>
      </w:r>
    </w:p>
    <w:p w14:paraId="463462A1" w14:textId="77777777" w:rsidR="00215AD6" w:rsidRPr="007E3BA0" w:rsidRDefault="00215AD6">
      <w:pPr>
        <w:rPr>
          <w:rFonts w:ascii="Times New Roman" w:hAnsi="Times New Roman" w:cs="Times New Roman"/>
        </w:rPr>
      </w:pPr>
    </w:p>
    <w:sectPr w:rsidR="00215AD6" w:rsidRPr="007E3BA0" w:rsidSect="00322DE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72DA"/>
    <w:multiLevelType w:val="multilevel"/>
    <w:tmpl w:val="B92A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A54F8"/>
    <w:multiLevelType w:val="multilevel"/>
    <w:tmpl w:val="DDC0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99408F"/>
    <w:multiLevelType w:val="multilevel"/>
    <w:tmpl w:val="00FE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55090"/>
    <w:multiLevelType w:val="multilevel"/>
    <w:tmpl w:val="EE08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75020"/>
    <w:multiLevelType w:val="multilevel"/>
    <w:tmpl w:val="4002F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91689E"/>
    <w:multiLevelType w:val="multilevel"/>
    <w:tmpl w:val="6D166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437D84"/>
    <w:multiLevelType w:val="multilevel"/>
    <w:tmpl w:val="03D4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963F1"/>
    <w:multiLevelType w:val="multilevel"/>
    <w:tmpl w:val="CEFA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070D0E"/>
    <w:multiLevelType w:val="multilevel"/>
    <w:tmpl w:val="0A4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900497">
    <w:abstractNumId w:val="2"/>
  </w:num>
  <w:num w:numId="2" w16cid:durableId="163863463">
    <w:abstractNumId w:val="0"/>
  </w:num>
  <w:num w:numId="3" w16cid:durableId="1881895232">
    <w:abstractNumId w:val="6"/>
  </w:num>
  <w:num w:numId="4" w16cid:durableId="1386101601">
    <w:abstractNumId w:val="7"/>
  </w:num>
  <w:num w:numId="5" w16cid:durableId="424620895">
    <w:abstractNumId w:val="3"/>
  </w:num>
  <w:num w:numId="6" w16cid:durableId="2013297445">
    <w:abstractNumId w:val="8"/>
  </w:num>
  <w:num w:numId="7" w16cid:durableId="1920600919">
    <w:abstractNumId w:val="1"/>
  </w:num>
  <w:num w:numId="8" w16cid:durableId="1055398110">
    <w:abstractNumId w:val="4"/>
  </w:num>
  <w:num w:numId="9" w16cid:durableId="16840881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BA0"/>
    <w:rsid w:val="00215AD6"/>
    <w:rsid w:val="00322DE5"/>
    <w:rsid w:val="00376D00"/>
    <w:rsid w:val="00411F8C"/>
    <w:rsid w:val="00443E86"/>
    <w:rsid w:val="007E3BA0"/>
    <w:rsid w:val="00A07719"/>
    <w:rsid w:val="00BC65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D377A"/>
  <w15:chartTrackingRefBased/>
  <w15:docId w15:val="{04382C40-C7E4-4F3A-8305-478053E16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BA0"/>
    <w:rPr>
      <w:rFonts w:eastAsiaTheme="majorEastAsia" w:cstheme="majorBidi"/>
      <w:color w:val="272727" w:themeColor="text1" w:themeTint="D8"/>
    </w:rPr>
  </w:style>
  <w:style w:type="paragraph" w:styleId="Title">
    <w:name w:val="Title"/>
    <w:basedOn w:val="Normal"/>
    <w:next w:val="Normal"/>
    <w:link w:val="TitleChar"/>
    <w:uiPriority w:val="10"/>
    <w:qFormat/>
    <w:rsid w:val="007E3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BA0"/>
    <w:pPr>
      <w:spacing w:before="160"/>
      <w:jc w:val="center"/>
    </w:pPr>
    <w:rPr>
      <w:i/>
      <w:iCs/>
      <w:color w:val="404040" w:themeColor="text1" w:themeTint="BF"/>
    </w:rPr>
  </w:style>
  <w:style w:type="character" w:customStyle="1" w:styleId="QuoteChar">
    <w:name w:val="Quote Char"/>
    <w:basedOn w:val="DefaultParagraphFont"/>
    <w:link w:val="Quote"/>
    <w:uiPriority w:val="29"/>
    <w:rsid w:val="007E3BA0"/>
    <w:rPr>
      <w:i/>
      <w:iCs/>
      <w:color w:val="404040" w:themeColor="text1" w:themeTint="BF"/>
    </w:rPr>
  </w:style>
  <w:style w:type="paragraph" w:styleId="ListParagraph">
    <w:name w:val="List Paragraph"/>
    <w:basedOn w:val="Normal"/>
    <w:uiPriority w:val="34"/>
    <w:qFormat/>
    <w:rsid w:val="007E3BA0"/>
    <w:pPr>
      <w:ind w:left="720"/>
      <w:contextualSpacing/>
    </w:pPr>
  </w:style>
  <w:style w:type="character" w:styleId="IntenseEmphasis">
    <w:name w:val="Intense Emphasis"/>
    <w:basedOn w:val="DefaultParagraphFont"/>
    <w:uiPriority w:val="21"/>
    <w:qFormat/>
    <w:rsid w:val="007E3BA0"/>
    <w:rPr>
      <w:i/>
      <w:iCs/>
      <w:color w:val="0F4761" w:themeColor="accent1" w:themeShade="BF"/>
    </w:rPr>
  </w:style>
  <w:style w:type="paragraph" w:styleId="IntenseQuote">
    <w:name w:val="Intense Quote"/>
    <w:basedOn w:val="Normal"/>
    <w:next w:val="Normal"/>
    <w:link w:val="IntenseQuoteChar"/>
    <w:uiPriority w:val="30"/>
    <w:qFormat/>
    <w:rsid w:val="007E3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BA0"/>
    <w:rPr>
      <w:i/>
      <w:iCs/>
      <w:color w:val="0F4761" w:themeColor="accent1" w:themeShade="BF"/>
    </w:rPr>
  </w:style>
  <w:style w:type="character" w:styleId="IntenseReference">
    <w:name w:val="Intense Reference"/>
    <w:basedOn w:val="DefaultParagraphFont"/>
    <w:uiPriority w:val="32"/>
    <w:qFormat/>
    <w:rsid w:val="007E3B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11</Pages>
  <Words>1064</Words>
  <Characters>6070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Hashmil Muhammed</dc:creator>
  <cp:keywords/>
  <dc:description/>
  <cp:lastModifiedBy>Hashmil Muhammed</cp:lastModifiedBy>
  <cp:revision>2</cp:revision>
  <dcterms:created xsi:type="dcterms:W3CDTF">2026-06-10T10:17:00Z</dcterms:created>
  <dcterms:modified xsi:type="dcterms:W3CDTF">2026-06-10T11:07:00Z</dcterms:modified>
</cp:coreProperties>
</file>