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sz w:val="32"/>
          <w:szCs w:val="32"/>
        </w:rPr>
      </w:pPr>
      <w:r w:rsidDel="00000000" w:rsidR="00000000" w:rsidRPr="00000000">
        <w:rPr>
          <w:b w:val="1"/>
          <w:bCs w:val="1"/>
          <w:sz w:val="32"/>
          <w:szCs w:val="32"/>
          <w:rtl w:val="0"/>
        </w:rPr>
        <w:t xml:space="preserve">FHIR Data Ingestion Project – Microsoft Fabric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4"/>
          <w:szCs w:val="24"/>
        </w:rPr>
      </w:pPr>
      <w:r w:rsidDel="00000000" w:rsidR="00000000" w:rsidRPr="00000000">
        <w:rPr>
          <w:b w:val="1"/>
          <w:bCs w:val="1"/>
          <w:sz w:val="24"/>
          <w:szCs w:val="24"/>
          <w:rtl w:val="0"/>
        </w:rPr>
        <w:t xml:space="preserve">Project Overview</w:t>
      </w:r>
    </w:p>
    <w:p w:rsidR="00000000" w:rsidDel="00000000" w:rsidP="00000000" w:rsidRDefault="00000000" w:rsidRPr="00000000" w14:paraId="00000003">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Objective: </w:t>
      </w:r>
      <w:r w:rsidDel="00000000" w:rsidR="00000000" w:rsidRPr="00000000">
        <w:rPr>
          <w:sz w:val="21"/>
          <w:szCs w:val="21"/>
          <w:rtl w:val="0"/>
        </w:rPr>
        <w:t xml:space="preserve">The project implements an automated FHIR data ingestion and transformation process using Microsoft Fabric. The solution ingests Patient, Encounter, Observation, and Condition resources from a FHIR API and processes them through multiple data layers.</w:t>
      </w:r>
    </w:p>
    <w:p w:rsidR="00000000" w:rsidDel="00000000" w:rsidP="00000000" w:rsidRDefault="00000000" w:rsidRPr="00000000" w14:paraId="00000004">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Architecture: </w:t>
      </w:r>
      <w:r w:rsidDel="00000000" w:rsidR="00000000" w:rsidRPr="00000000">
        <w:rPr>
          <w:rFonts w:ascii="Arial Unicode MS" w:cs="Arial Unicode MS" w:eastAsia="Arial Unicode MS" w:hAnsi="Arial Unicode MS"/>
          <w:sz w:val="21"/>
          <w:szCs w:val="21"/>
          <w:rtl w:val="0"/>
        </w:rPr>
        <w:t xml:space="preserve">The solution follows a Raw → Bronze → Silver → Gold architecture. Each layer has a specific purpose, making the data flow easier to manage, validate, and maintain.</w:t>
      </w:r>
    </w:p>
    <w:p w:rsidR="00000000" w:rsidDel="00000000" w:rsidP="00000000" w:rsidRDefault="00000000" w:rsidRPr="00000000" w14:paraId="00000005">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Raw Layer: </w:t>
      </w:r>
      <w:r w:rsidDel="00000000" w:rsidR="00000000" w:rsidRPr="00000000">
        <w:rPr>
          <w:sz w:val="21"/>
          <w:szCs w:val="21"/>
          <w:rtl w:val="0"/>
        </w:rPr>
        <w:t xml:space="preserve">The Raw notebook connects to the HAPI FHIR R4 API and retrieves the required FHIR resources. The API responses are stored as JSON files under resource- and extraction-based folders. Pagination is handled by following the FHIR API next links.</w:t>
      </w:r>
    </w:p>
    <w:p w:rsidR="00000000" w:rsidDel="00000000" w:rsidP="00000000" w:rsidRDefault="00000000" w:rsidRPr="00000000" w14:paraId="00000006">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Bronze Layer: </w:t>
      </w:r>
      <w:r w:rsidDel="00000000" w:rsidR="00000000" w:rsidRPr="00000000">
        <w:rPr>
          <w:sz w:val="21"/>
          <w:szCs w:val="21"/>
          <w:rtl w:val="0"/>
        </w:rPr>
        <w:t xml:space="preserve">The Raw-to-Bronze notebook reads the JSON bundles, extracts the resources from the FHIR entries, and stores them as Delta tables. Resource type, extraction timestamp, and Bronze load timestamp are maintained for tracking and audit purposes.</w:t>
      </w:r>
    </w:p>
    <w:p w:rsidR="00000000" w:rsidDel="00000000" w:rsidP="00000000" w:rsidRDefault="00000000" w:rsidRPr="00000000" w14:paraId="0000000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Silver Layer: </w:t>
      </w:r>
      <w:r w:rsidDel="00000000" w:rsidR="00000000" w:rsidRPr="00000000">
        <w:rPr>
          <w:sz w:val="21"/>
          <w:szCs w:val="21"/>
          <w:rtl w:val="0"/>
        </w:rPr>
        <w:t xml:space="preserve">The Bronze-to-Silver notebook cleans and prepares the data. Nested structures are flattened, arrays are handled as JSON strings, blank values are converted to null, and records without an ID are excluded. Duplicate records are removed before processing.</w:t>
      </w:r>
    </w:p>
    <w:p w:rsidR="00000000" w:rsidDel="00000000" w:rsidP="00000000" w:rsidRDefault="00000000" w:rsidRPr="00000000" w14:paraId="0000000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SCD Type 2: </w:t>
      </w:r>
      <w:r w:rsidDel="00000000" w:rsidR="00000000" w:rsidRPr="00000000">
        <w:rPr>
          <w:sz w:val="21"/>
          <w:szCs w:val="21"/>
          <w:rtl w:val="0"/>
        </w:rPr>
        <w:t xml:space="preserve">The Silver layer maintains historical changes using SCD Type 2 logic. A record hash is used to identify changes. When a record changes, the previous version is marked as no longer current and a new version is inserted.</w:t>
      </w:r>
    </w:p>
    <w:p w:rsidR="00000000" w:rsidDel="00000000" w:rsidP="00000000" w:rsidRDefault="00000000" w:rsidRPr="00000000" w14:paraId="0000000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Gold Layer: </w:t>
      </w:r>
      <w:r w:rsidDel="00000000" w:rsidR="00000000" w:rsidRPr="00000000">
        <w:rPr>
          <w:sz w:val="21"/>
          <w:szCs w:val="21"/>
          <w:rtl w:val="0"/>
        </w:rPr>
        <w:t xml:space="preserve">The Silver-to-Gold notebook selects current Silver records and creates curated Gold Delta tables for Patient, Encounter, Observation, and Condition. A separate patient-name dataset is also created from patient name information.</w:t>
      </w:r>
    </w:p>
    <w:p w:rsidR="00000000" w:rsidDel="00000000" w:rsidP="00000000" w:rsidRDefault="00000000" w:rsidRPr="00000000" w14:paraId="0000000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Pipeline Orchestration: </w:t>
      </w:r>
      <w:r w:rsidDel="00000000" w:rsidR="00000000" w:rsidRPr="00000000">
        <w:rPr>
          <w:sz w:val="21"/>
          <w:szCs w:val="21"/>
          <w:rtl w:val="0"/>
        </w:rPr>
        <w:t xml:space="preserve">A Microsoft Fabric pipeline controls the execution order. It sets the extraction timestamp, runs Raw ingestion, converts Raw data to Bronze, processes Bronze into Silver, and then prepares the Gold layer.</w:t>
      </w:r>
    </w:p>
    <w:p w:rsidR="00000000" w:rsidDel="00000000" w:rsidP="00000000" w:rsidRDefault="00000000" w:rsidRPr="00000000" w14:paraId="0000000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Parameters: </w:t>
      </w:r>
      <w:r w:rsidDel="00000000" w:rsidR="00000000" w:rsidRPr="00000000">
        <w:rPr>
          <w:sz w:val="21"/>
          <w:szCs w:val="21"/>
          <w:rtl w:val="0"/>
        </w:rPr>
        <w:t xml:space="preserve">The notebooks use parameters for extraction information and resource selection. The resource list can include Patient, Encounter, Observation, and Condition, allowing the processing scope to be controlled from the pipeline.</w:t>
      </w:r>
    </w:p>
    <w:p w:rsidR="00000000" w:rsidDel="00000000" w:rsidP="00000000" w:rsidRDefault="00000000" w:rsidRPr="00000000" w14:paraId="0000000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Validation: </w:t>
      </w:r>
      <w:r w:rsidDel="00000000" w:rsidR="00000000" w:rsidRPr="00000000">
        <w:rPr>
          <w:sz w:val="21"/>
          <w:szCs w:val="21"/>
          <w:rtl w:val="0"/>
        </w:rPr>
        <w:t xml:space="preserve">Record counts and processing results are checked across the layers to confirm that ingestion and transformation steps have completed successfully.</w:t>
      </w:r>
    </w:p>
    <w:p w:rsidR="00000000" w:rsidDel="00000000" w:rsidP="00000000" w:rsidRDefault="00000000" w:rsidRPr="00000000" w14:paraId="0000000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b w:val="1"/>
          <w:bCs w:val="1"/>
          <w:sz w:val="21"/>
          <w:szCs w:val="21"/>
          <w:rtl w:val="0"/>
        </w:rPr>
        <w:t xml:space="preserve">Benefits: </w:t>
      </w:r>
      <w:r w:rsidDel="00000000" w:rsidR="00000000" w:rsidRPr="00000000">
        <w:rPr>
          <w:sz w:val="21"/>
          <w:szCs w:val="21"/>
          <w:rtl w:val="0"/>
        </w:rPr>
        <w:t xml:space="preserve">The solution provides a structured and reusable approach for FHIR data processing. It supports auditability, historical tracking, incremental processing, and separation of ingestion, transformation, and reporting-ready data.</w:t>
      </w:r>
    </w:p>
    <w:p w:rsidR="00000000" w:rsidDel="00000000" w:rsidP="00000000" w:rsidRDefault="00000000" w:rsidRPr="00000000" w14:paraId="0000000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4"/>
          <w:szCs w:val="24"/>
        </w:rPr>
      </w:pPr>
      <w:r w:rsidDel="00000000" w:rsidR="00000000" w:rsidRPr="00000000">
        <w:rPr>
          <w:b w:val="1"/>
          <w:bCs w:val="1"/>
          <w:sz w:val="24"/>
          <w:szCs w:val="24"/>
          <w:rtl w:val="0"/>
        </w:rPr>
        <w:t xml:space="preserve">End-to-End Flow</w:t>
      </w:r>
    </w:p>
    <w:p w:rsidR="00000000" w:rsidDel="00000000" w:rsidP="00000000" w:rsidRDefault="00000000" w:rsidRPr="00000000" w14:paraId="0000001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FHIR API → Raw JSON files → Bronze Delta tables → Silver cleaned and historical data → Gold curated data → Reporting/Analytics</w:t>
      </w:r>
    </w:p>
    <w:p w:rsidR="00000000" w:rsidDel="00000000" w:rsidP="00000000" w:rsidRDefault="00000000" w:rsidRPr="00000000" w14:paraId="00000011">
      <w:pPr>
        <w:rPr>
          <w:b w:val="1"/>
          <w:bCs w:val="1"/>
          <w:sz w:val="32"/>
          <w:szCs w:val="32"/>
        </w:rPr>
      </w:pPr>
      <w:r w:rsidDel="00000000" w:rsidR="00000000" w:rsidRPr="00000000">
        <w:rPr>
          <w:rtl w:val="0"/>
        </w:rPr>
      </w:r>
    </w:p>
    <w:sectPr>
      <w:pgSz w:h="16834" w:w="11909" w:orient="portrait"/>
      <w:pgMar w:bottom="1440" w:top="1440" w:left="1984.25196850393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