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84A120" w14:textId="77777777" w:rsidR="00C85536" w:rsidRDefault="00F532CA">
      <w:pPr>
        <w:spacing w:after="20"/>
        <w:jc w:val="center"/>
      </w:pPr>
      <w:r>
        <w:rPr>
          <w:b/>
          <w:bCs/>
          <w:color w:val="1F3B57"/>
          <w:sz w:val="28"/>
          <w:szCs w:val="28"/>
        </w:rPr>
        <w:t>AI-Enabled Medical Claims Processing</w:t>
      </w:r>
    </w:p>
    <w:p w14:paraId="3584A121" w14:textId="77777777" w:rsidR="00C85536" w:rsidRDefault="00F532CA">
      <w:pPr>
        <w:spacing w:after="20"/>
        <w:jc w:val="center"/>
      </w:pPr>
      <w:r>
        <w:rPr>
          <w:b/>
          <w:bCs/>
          <w:color w:val="2E6F95"/>
          <w:sz w:val="20"/>
          <w:szCs w:val="20"/>
        </w:rPr>
        <w:t>for PSU Employees in Remote / Coalfield Locations</w:t>
      </w:r>
    </w:p>
    <w:p w14:paraId="3584A122" w14:textId="77777777" w:rsidR="00C85536" w:rsidRDefault="00F532CA">
      <w:pPr>
        <w:spacing w:after="100"/>
        <w:jc w:val="center"/>
      </w:pPr>
      <w:r>
        <w:rPr>
          <w:i/>
          <w:iCs/>
          <w:color w:val="555555"/>
          <w:sz w:val="15"/>
          <w:szCs w:val="15"/>
        </w:rPr>
        <w:t>Capstone Use Case &amp; Advanced AI Architecture — AI Product Leadership Program, IIT Kanpur</w:t>
      </w:r>
    </w:p>
    <w:p w14:paraId="3584A123" w14:textId="77777777" w:rsidR="00C85536" w:rsidRDefault="00F532CA">
      <w:pPr>
        <w:spacing w:after="100"/>
        <w:jc w:val="center"/>
      </w:pPr>
      <w:r>
        <w:rPr>
          <w:b/>
          <w:bCs/>
          <w:color w:val="1F3B57"/>
        </w:rPr>
        <w:t xml:space="preserve">Primary Objective: </w:t>
      </w:r>
      <w:r>
        <w:t xml:space="preserve">cut end-to-end medical claim settlement time from the field-reported </w:t>
      </w:r>
      <w:r>
        <w:rPr>
          <w:b/>
          <w:bCs/>
        </w:rPr>
        <w:t xml:space="preserve">3–4 months</w:t>
      </w:r>
      <w:r>
        <w:t xml:space="preserve"> to </w:t>
      </w:r>
      <w:r>
        <w:rPr>
          <w:b/>
          <w:bCs/>
        </w:rPr>
        <w:t xml:space="preserve">under 48 hours</w:t>
      </w:r>
      <w:r>
        <w:t xml:space="preserve"> for standard, compliant claims — using AI.</w:t>
      </w:r>
    </w:p>
    <w:p w14:paraId="3584A124" w14:textId="77777777" w:rsidR="00C85536" w:rsidRDefault="00F532CA">
      <w:pPr>
        <w:pStyle w:val="Heading1"/>
        <w:spacing w:before="150" w:after="60"/>
      </w:pPr>
      <w:r>
        <w:rPr>
          <w:b/>
          <w:bCs/>
          <w:color w:val="1F3B57"/>
          <w:sz w:val="22"/>
          <w:szCs w:val="22"/>
        </w:rPr>
        <w:t>1. Overview &amp; Context</w:t>
      </w:r>
    </w:p>
    <w:p w14:paraId="3584A125" w14:textId="77777777" w:rsidR="00C85536" w:rsidRDefault="00F532CA">
      <w:pPr>
        <w:spacing w:after="70" w:line="250" w:lineRule="auto"/>
      </w:pPr>
      <w:r>
        <w:t xml:space="preserve">PSUs operating in remote, resource-extraction locations (reference sector: Coal India-type coalfield operations) provide medical care through on-site dispensaries and Chief Medical Officer (CMO) facilities. When an employee needs specialist treatment, diagnostics, or surgery that the local facility cannot provide, the employee is formally referred to an empanelled hospital, often in a distant city. Treatment generates a claim: either an employee-paid reimbursement claim, submitted to the site or area office with prescriptions, discharge summaries, and itemized bills, or a hospital-submitted cashless invoice. In genuine emergencies, the same entitlement/empanelment checks are needed upfront, within minutes.</w:t>
      </w:r>
    </w:p>
    <w:p>
      <w:pPr>
        <w:spacing w:after="70" w:line="250" w:lineRule="auto"/>
      </w:pPr>
      <w:r>
        <w:t xml:space="preserve">This process sits at the intersection of employee welfare, financial governance, and healthcare administration, and is handled through a largely manual, paper-based workflow at many remote PSU locations. </w:t>
      </w:r>
      <w:r>
        <w:rPr>
          <w:b/>
          <w:bCs/>
        </w:rPr>
        <w:t xml:space="preserve">This use case proposes a single AI claims-verification layer that reads, verifies, and risk-scores every such claim automatically — before treatment for emergency authorization, and after treatment for reimbursement or direct-billed claims.</w:t>
      </w:r>
    </w:p>
    <w:p w14:paraId="3584A126" w14:textId="77777777" w:rsidR="00C85536" w:rsidRDefault="00F532CA">
      <w:pPr>
        <w:pStyle w:val="Heading1"/>
        <w:spacing w:before="150" w:after="60"/>
      </w:pPr>
      <w:r>
        <w:rPr>
          <w:b/>
          <w:bCs/>
          <w:color w:val="1F3B57"/>
          <w:sz w:val="22"/>
          <w:szCs w:val="22"/>
        </w:rPr>
        <w:t>2. Stakeholders</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920"/>
      </w:tblGrid>
      <w:tr w:rsidR="00C85536" w14:paraId="3584A129" w14:textId="77777777">
        <w:trPr>
          <w:cantSplit/>
          <w:tblHeader/>
        </w:trPr>
        <w:tc>
          <w:tcPr>
            <w:tcW w:w="2500" w:type="dxa"/>
            <w:shd w:val="clear" w:color="auto" w:fill="1F3B57"/>
            <w:tcMar>
              <w:top w:w="55" w:type="dxa"/>
              <w:left w:w="80" w:type="dxa"/>
              <w:bottom w:w="55" w:type="dxa"/>
              <w:right w:w="80" w:type="dxa"/>
            </w:tcMar>
          </w:tcPr>
          <w:p w14:paraId="3584A127" w14:textId="77777777" w:rsidR="00C85536" w:rsidRDefault="00F532CA">
            <w:r>
              <w:rPr>
                <w:b/>
                <w:bCs/>
                <w:color w:val="FFFFFF"/>
                <w:sz w:val="16"/>
                <w:szCs w:val="16"/>
              </w:rPr>
              <w:t>Stakeholder</w:t>
            </w:r>
          </w:p>
        </w:tc>
        <w:tc>
          <w:tcPr>
            <w:tcW w:w="6920" w:type="dxa"/>
            <w:shd w:val="clear" w:color="auto" w:fill="1F3B57"/>
            <w:tcMar>
              <w:top w:w="55" w:type="dxa"/>
              <w:left w:w="80" w:type="dxa"/>
              <w:bottom w:w="55" w:type="dxa"/>
              <w:right w:w="80" w:type="dxa"/>
            </w:tcMar>
          </w:tcPr>
          <w:p w14:paraId="3584A128" w14:textId="77777777" w:rsidR="00C85536" w:rsidRDefault="00F532CA">
            <w:r>
              <w:rPr>
                <w:b/>
                <w:bCs/>
                <w:color w:val="FFFFFF"/>
                <w:sz w:val="16"/>
                <w:szCs w:val="16"/>
              </w:rPr>
              <w:t>Role in the Process</w:t>
            </w:r>
          </w:p>
        </w:tc>
      </w:tr>
      <w:tr w:rsidR="00C85536" w14:paraId="3584A12C" w14:textId="77777777">
        <w:trPr>
          <w:cantSplit/>
        </w:trPr>
        <w:tc>
          <w:tcPr>
            <w:tcW w:w="2500" w:type="dxa"/>
            <w:shd w:val="clear" w:color="auto" w:fill="F2F2F2"/>
            <w:tcMar>
              <w:top w:w="55" w:type="dxa"/>
              <w:left w:w="80" w:type="dxa"/>
              <w:bottom w:w="55" w:type="dxa"/>
              <w:right w:w="80" w:type="dxa"/>
            </w:tcMar>
          </w:tcPr>
          <w:p w14:paraId="3584A12A" w14:textId="77777777" w:rsidR="00C85536" w:rsidRDefault="00F532CA">
            <w:r>
              <w:rPr>
                <w:sz w:val="16"/>
                <w:szCs w:val="16"/>
              </w:rPr>
              <w:t>Employee (patient/family)</w:t>
            </w:r>
          </w:p>
        </w:tc>
        <w:tc>
          <w:tcPr>
            <w:tcW w:w="6920" w:type="dxa"/>
            <w:tcMar>
              <w:top w:w="55" w:type="dxa"/>
              <w:left w:w="80" w:type="dxa"/>
              <w:bottom w:w="55" w:type="dxa"/>
              <w:right w:w="80" w:type="dxa"/>
            </w:tcMar>
          </w:tcPr>
          <w:p w14:paraId="3584A12B" w14:textId="77777777" w:rsidR="00C85536" w:rsidRDefault="00F532CA">
            <w:r>
              <w:rPr>
                <w:sz w:val="16"/>
                <w:szCs w:val="16"/>
              </w:rPr>
              <w:t>Seeks treatment, obtains referral; pays &amp; submits bills for reimbursement, or receives cashless treatment billed to the PSU.</w:t>
            </w:r>
          </w:p>
        </w:tc>
      </w:tr>
      <w:tr w:rsidR="00C85536" w14:paraId="3584A12F" w14:textId="77777777">
        <w:trPr>
          <w:cantSplit/>
        </w:trPr>
        <w:tc>
          <w:tcPr>
            <w:tcW w:w="2500" w:type="dxa"/>
            <w:shd w:val="clear" w:color="auto" w:fill="F2F2F2"/>
            <w:tcMar>
              <w:top w:w="55" w:type="dxa"/>
              <w:left w:w="80" w:type="dxa"/>
              <w:bottom w:w="55" w:type="dxa"/>
              <w:right w:w="80" w:type="dxa"/>
            </w:tcMar>
          </w:tcPr>
          <w:p w14:paraId="3584A12D" w14:textId="77777777" w:rsidR="00C85536" w:rsidRDefault="00F532CA">
            <w:r>
              <w:rPr>
                <w:sz w:val="16"/>
                <w:szCs w:val="16"/>
              </w:rPr>
              <w:t>Site Medical Officer (CMO)</w:t>
            </w:r>
          </w:p>
        </w:tc>
        <w:tc>
          <w:tcPr>
            <w:tcW w:w="6920" w:type="dxa"/>
            <w:tcMar>
              <w:top w:w="55" w:type="dxa"/>
              <w:left w:w="80" w:type="dxa"/>
              <w:bottom w:w="55" w:type="dxa"/>
              <w:right w:w="80" w:type="dxa"/>
            </w:tcMar>
          </w:tcPr>
          <w:p w14:paraId="3584A12E" w14:textId="77777777" w:rsidR="00C85536" w:rsidRDefault="00F532CA">
            <w:r>
              <w:rPr>
                <w:sz w:val="16"/>
                <w:szCs w:val="16"/>
              </w:rPr>
              <w:t xml:space="preserve">Issues referral to an empanelled hospital when on-site treatment is unavailable.</w:t>
            </w:r>
          </w:p>
        </w:tc>
      </w:tr>
      <w:tr w:rsidR="00C85536" w14:paraId="3584A132" w14:textId="77777777">
        <w:trPr>
          <w:cantSplit/>
        </w:trPr>
        <w:tc>
          <w:tcPr>
            <w:tcW w:w="2500" w:type="dxa"/>
            <w:shd w:val="clear" w:color="auto" w:fill="F2F2F2"/>
            <w:tcMar>
              <w:top w:w="55" w:type="dxa"/>
              <w:left w:w="80" w:type="dxa"/>
              <w:bottom w:w="55" w:type="dxa"/>
              <w:right w:w="80" w:type="dxa"/>
            </w:tcMar>
          </w:tcPr>
          <w:p w14:paraId="3584A130" w14:textId="77777777" w:rsidR="00C85536" w:rsidRDefault="00F532CA">
            <w:r>
              <w:rPr>
                <w:sz w:val="16"/>
                <w:szCs w:val="16"/>
              </w:rPr>
              <w:t xml:space="preserve">Empanelled / Referral Hospital</w:t>
            </w:r>
          </w:p>
        </w:tc>
        <w:tc>
          <w:tcPr>
            <w:tcW w:w="6920" w:type="dxa"/>
            <w:tcMar>
              <w:top w:w="55" w:type="dxa"/>
              <w:left w:w="80" w:type="dxa"/>
              <w:bottom w:w="55" w:type="dxa"/>
              <w:right w:w="80" w:type="dxa"/>
            </w:tcMar>
          </w:tcPr>
          <w:p w14:paraId="3584A131" w14:textId="77777777" w:rsidR="00C85536" w:rsidRDefault="00F532CA">
            <w:r>
              <w:rPr>
                <w:sz w:val="16"/>
                <w:szCs w:val="16"/>
              </w:rPr>
              <w:t xml:space="preserve">Treats patient; issues prescriptions, discharge summary, itemized bills — to employee or direct to PSU (cashless).</w:t>
            </w:r>
          </w:p>
        </w:tc>
      </w:tr>
      <w:tr w:rsidR="00C85536" w14:paraId="3584A135" w14:textId="77777777">
        <w:trPr>
          <w:cantSplit/>
        </w:trPr>
        <w:tc>
          <w:tcPr>
            <w:tcW w:w="2500" w:type="dxa"/>
            <w:shd w:val="clear" w:color="auto" w:fill="F2F2F2"/>
            <w:tcMar>
              <w:top w:w="55" w:type="dxa"/>
              <w:left w:w="80" w:type="dxa"/>
              <w:bottom w:w="55" w:type="dxa"/>
              <w:right w:w="80" w:type="dxa"/>
            </w:tcMar>
          </w:tcPr>
          <w:p w14:paraId="3584A133" w14:textId="77777777" w:rsidR="00C85536" w:rsidRDefault="00F532CA">
            <w:r>
              <w:rPr>
                <w:sz w:val="16"/>
                <w:szCs w:val="16"/>
              </w:rPr>
              <w:t>Site Accounts / Welfare Office</w:t>
            </w:r>
          </w:p>
        </w:tc>
        <w:tc>
          <w:tcPr>
            <w:tcW w:w="6920" w:type="dxa"/>
            <w:tcMar>
              <w:top w:w="55" w:type="dxa"/>
              <w:left w:w="80" w:type="dxa"/>
              <w:bottom w:w="55" w:type="dxa"/>
              <w:right w:w="80" w:type="dxa"/>
            </w:tcMar>
          </w:tcPr>
          <w:p w14:paraId="3584A134" w14:textId="77777777" w:rsidR="00C85536" w:rsidRDefault="00F532CA">
            <w:r>
              <w:rPr>
                <w:sz w:val="16"/>
                <w:szCs w:val="16"/>
              </w:rPr>
              <w:t>Receives claim; performs bill verification and eligibility checks.</w:t>
            </w:r>
          </w:p>
        </w:tc>
      </w:tr>
      <w:tr w:rsidR="00C85536" w14:paraId="3584A138" w14:textId="77777777">
        <w:trPr>
          <w:cantSplit/>
        </w:trPr>
        <w:tc>
          <w:tcPr>
            <w:tcW w:w="2500" w:type="dxa"/>
            <w:shd w:val="clear" w:color="auto" w:fill="F2F2F2"/>
            <w:tcMar>
              <w:top w:w="55" w:type="dxa"/>
              <w:left w:w="80" w:type="dxa"/>
              <w:bottom w:w="55" w:type="dxa"/>
              <w:right w:w="80" w:type="dxa"/>
            </w:tcMar>
          </w:tcPr>
          <w:p w14:paraId="3584A136" w14:textId="77777777" w:rsidR="00C85536" w:rsidRDefault="00F532CA">
            <w:r>
              <w:rPr>
                <w:sz w:val="16"/>
                <w:szCs w:val="16"/>
              </w:rPr>
              <w:t>Area / Regional Finance Office</w:t>
            </w:r>
          </w:p>
        </w:tc>
        <w:tc>
          <w:tcPr>
            <w:tcW w:w="6920" w:type="dxa"/>
            <w:tcMar>
              <w:top w:w="55" w:type="dxa"/>
              <w:left w:w="80" w:type="dxa"/>
              <w:bottom w:w="55" w:type="dxa"/>
              <w:right w:w="80" w:type="dxa"/>
            </w:tcMar>
          </w:tcPr>
          <w:p w14:paraId="3584A137" w14:textId="77777777" w:rsidR="00C85536" w:rsidRDefault="00F532CA">
            <w:r>
              <w:rPr>
                <w:sz w:val="16"/>
                <w:szCs w:val="16"/>
              </w:rPr>
              <w:t>Reviews/approves claims above threshold; disburses payment.</w:t>
            </w:r>
          </w:p>
        </w:tc>
      </w:tr>
      <w:tr w:rsidR="00C85536" w14:paraId="3584A13B" w14:textId="77777777">
        <w:trPr>
          <w:cantSplit/>
        </w:trPr>
        <w:tc>
          <w:tcPr>
            <w:tcW w:w="2500" w:type="dxa"/>
            <w:shd w:val="clear" w:color="auto" w:fill="F2F2F2"/>
            <w:tcMar>
              <w:top w:w="55" w:type="dxa"/>
              <w:left w:w="80" w:type="dxa"/>
              <w:bottom w:w="55" w:type="dxa"/>
              <w:right w:w="80" w:type="dxa"/>
            </w:tcMar>
          </w:tcPr>
          <w:p w14:paraId="3584A139" w14:textId="77777777" w:rsidR="00C85536" w:rsidRDefault="00F532CA">
            <w:r>
              <w:rPr>
                <w:sz w:val="16"/>
                <w:szCs w:val="16"/>
              </w:rPr>
              <w:t>Area GM / Approving Authority</w:t>
            </w:r>
          </w:p>
        </w:tc>
        <w:tc>
          <w:tcPr>
            <w:tcW w:w="6920" w:type="dxa"/>
            <w:tcMar>
              <w:top w:w="55" w:type="dxa"/>
              <w:left w:w="80" w:type="dxa"/>
              <w:bottom w:w="55" w:type="dxa"/>
              <w:right w:w="80" w:type="dxa"/>
            </w:tcMar>
          </w:tcPr>
          <w:p w14:paraId="3584A13A" w14:textId="77777777" w:rsidR="00C85536" w:rsidRDefault="00F532CA">
            <w:r>
              <w:rPr>
                <w:sz w:val="16"/>
                <w:szCs w:val="16"/>
              </w:rPr>
              <w:t>Final sign-off for high-value or exception claims.</w:t>
            </w:r>
          </w:p>
        </w:tc>
      </w:tr>
    </w:tbl>
    <w:p w14:paraId="3584A13C" w14:textId="77777777" w:rsidR="00C85536" w:rsidRDefault="00C85536">
      <w:pPr>
        <w:spacing w:after="60"/>
      </w:pPr>
    </w:p>
    <w:p w14:paraId="3584A13D" w14:textId="77777777" w:rsidR="00C85536" w:rsidRDefault="00F532CA">
      <w:pPr>
        <w:pStyle w:val="Heading1"/>
        <w:spacing w:before="150" w:after="60"/>
      </w:pPr>
      <w:r>
        <w:rPr>
          <w:b/>
          <w:bCs/>
          <w:color w:val="1F3B57"/>
          <w:sz w:val="22"/>
          <w:szCs w:val="22"/>
        </w:rPr>
        <w:t>3. Problem Statement, Pain Points &amp; Evidence</w:t>
      </w:r>
    </w:p>
    <w:p w14:paraId="3584A13E" w14:textId="77777777" w:rsidR="00C85536" w:rsidRDefault="00F532CA">
      <w:pPr>
        <w:spacing w:after="70" w:line="250" w:lineRule="auto"/>
      </w:pPr>
      <w:r>
        <w:t xml:space="preserve">Claims processing — whether an employee's reimbursement bill or a hospital's direct-billed invoice — is slow, labour-intensive, and error-prone because it depends on manual document handling and bill verification by staff who also cover other site duties. This delays settlement, applies entitlement/rate rules inconsistently, and creates a heavy audit burden.</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4920"/>
      </w:tblGrid>
      <w:tr w:rsidR="00C85536" w14:paraId="3584A142" w14:textId="77777777">
        <w:trPr>
          <w:cantSplit/>
          <w:tblHeader/>
        </w:trPr>
        <w:tc>
          <w:tcPr>
            <w:tcW w:w="2500" w:type="dxa"/>
            <w:shd w:val="clear" w:color="auto" w:fill="1F3B57"/>
            <w:tcMar>
              <w:top w:w="55" w:type="dxa"/>
              <w:left w:w="80" w:type="dxa"/>
              <w:bottom w:w="55" w:type="dxa"/>
              <w:right w:w="80" w:type="dxa"/>
            </w:tcMar>
          </w:tcPr>
          <w:p w14:paraId="3584A13F" w14:textId="77777777" w:rsidR="00C85536" w:rsidRDefault="00F532CA">
            <w:r>
              <w:rPr>
                <w:b/>
                <w:bCs/>
                <w:color w:val="FFFFFF"/>
                <w:sz w:val="16"/>
                <w:szCs w:val="16"/>
              </w:rPr>
              <w:t>Pain Point</w:t>
            </w:r>
          </w:p>
        </w:tc>
        <w:tc>
          <w:tcPr>
            <w:tcW w:w="2000" w:type="dxa"/>
            <w:shd w:val="clear" w:color="auto" w:fill="1F3B57"/>
            <w:tcMar>
              <w:top w:w="55" w:type="dxa"/>
              <w:left w:w="80" w:type="dxa"/>
              <w:bottom w:w="55" w:type="dxa"/>
              <w:right w:w="80" w:type="dxa"/>
            </w:tcMar>
          </w:tcPr>
          <w:p w14:paraId="3584A140" w14:textId="77777777" w:rsidR="00C85536" w:rsidRDefault="00F532CA">
            <w:r>
              <w:rPr>
                <w:b/>
                <w:bCs/>
                <w:color w:val="FFFFFF"/>
                <w:sz w:val="16"/>
                <w:szCs w:val="16"/>
              </w:rPr>
              <w:t>Who It Affects</w:t>
            </w:r>
          </w:p>
        </w:tc>
        <w:tc>
          <w:tcPr>
            <w:tcW w:w="4920" w:type="dxa"/>
            <w:shd w:val="clear" w:color="auto" w:fill="1F3B57"/>
            <w:tcMar>
              <w:top w:w="55" w:type="dxa"/>
              <w:left w:w="80" w:type="dxa"/>
              <w:bottom w:w="55" w:type="dxa"/>
              <w:right w:w="80" w:type="dxa"/>
            </w:tcMar>
          </w:tcPr>
          <w:p w14:paraId="3584A141" w14:textId="77777777" w:rsidR="00C85536" w:rsidRDefault="00F532CA">
            <w:r>
              <w:rPr>
                <w:b/>
                <w:bCs/>
                <w:color w:val="FFFFFF"/>
                <w:sz w:val="16"/>
                <w:szCs w:val="16"/>
              </w:rPr>
              <w:t>Why It Happens</w:t>
            </w:r>
          </w:p>
        </w:tc>
      </w:tr>
      <w:tr w:rsidR="00C85536" w14:paraId="3584A146" w14:textId="77777777">
        <w:trPr>
          <w:cantSplit/>
        </w:trPr>
        <w:tc>
          <w:tcPr>
            <w:tcW w:w="2500" w:type="dxa"/>
            <w:shd w:val="clear" w:color="auto" w:fill="F2F2F2"/>
            <w:tcMar>
              <w:top w:w="55" w:type="dxa"/>
              <w:left w:w="80" w:type="dxa"/>
              <w:bottom w:w="55" w:type="dxa"/>
              <w:right w:w="80" w:type="dxa"/>
            </w:tcMar>
          </w:tcPr>
          <w:p w14:paraId="3584A143" w14:textId="77777777" w:rsidR="00C85536" w:rsidRDefault="00F532CA">
            <w:r>
              <w:rPr>
                <w:sz w:val="16"/>
                <w:szCs w:val="16"/>
              </w:rPr>
              <w:t>Manual, paper-based bill submission</w:t>
            </w:r>
          </w:p>
        </w:tc>
        <w:tc>
          <w:tcPr>
            <w:tcW w:w="2000" w:type="dxa"/>
            <w:tcMar>
              <w:top w:w="55" w:type="dxa"/>
              <w:left w:w="80" w:type="dxa"/>
              <w:bottom w:w="55" w:type="dxa"/>
              <w:right w:w="80" w:type="dxa"/>
            </w:tcMar>
          </w:tcPr>
          <w:p w14:paraId="3584A144" w14:textId="77777777" w:rsidR="00C85536" w:rsidRDefault="00F532CA">
            <w:r>
              <w:rPr>
                <w:sz w:val="16"/>
                <w:szCs w:val="16"/>
              </w:rPr>
              <w:t>Employees, Accounts</w:t>
            </w:r>
          </w:p>
        </w:tc>
        <w:tc>
          <w:tcPr>
            <w:tcW w:w="4920" w:type="dxa"/>
            <w:tcMar>
              <w:top w:w="55" w:type="dxa"/>
              <w:left w:w="80" w:type="dxa"/>
              <w:bottom w:w="55" w:type="dxa"/>
              <w:right w:w="80" w:type="dxa"/>
            </w:tcMar>
          </w:tcPr>
          <w:p w14:paraId="3584A145" w14:textId="77777777" w:rsidR="00C85536" w:rsidRDefault="00F532CA">
            <w:r>
              <w:rPr>
                <w:sz w:val="16"/>
                <w:szCs w:val="16"/>
              </w:rPr>
              <w:t>Poor connectivity at remote sites; no digital intake channel.</w:t>
            </w:r>
          </w:p>
        </w:tc>
      </w:tr>
      <w:tr w:rsidR="00C85536" w14:paraId="3584A14A" w14:textId="77777777">
        <w:trPr>
          <w:cantSplit/>
        </w:trPr>
        <w:tc>
          <w:tcPr>
            <w:tcW w:w="2500" w:type="dxa"/>
            <w:shd w:val="clear" w:color="auto" w:fill="F2F2F2"/>
            <w:tcMar>
              <w:top w:w="55" w:type="dxa"/>
              <w:left w:w="80" w:type="dxa"/>
              <w:bottom w:w="55" w:type="dxa"/>
              <w:right w:w="80" w:type="dxa"/>
            </w:tcMar>
          </w:tcPr>
          <w:p w14:paraId="3584A147" w14:textId="77777777" w:rsidR="00C85536" w:rsidRDefault="00F532CA">
            <w:r>
              <w:rPr>
                <w:sz w:val="16"/>
                <w:szCs w:val="16"/>
              </w:rPr>
              <w:t>Time-consuming line-item checking</w:t>
            </w:r>
          </w:p>
        </w:tc>
        <w:tc>
          <w:tcPr>
            <w:tcW w:w="2000" w:type="dxa"/>
            <w:tcMar>
              <w:top w:w="55" w:type="dxa"/>
              <w:left w:w="80" w:type="dxa"/>
              <w:bottom w:w="55" w:type="dxa"/>
              <w:right w:w="80" w:type="dxa"/>
            </w:tcMar>
          </w:tcPr>
          <w:p w14:paraId="3584A148" w14:textId="77777777" w:rsidR="00C85536" w:rsidRDefault="00F532CA">
            <w:r>
              <w:rPr>
                <w:sz w:val="16"/>
                <w:szCs w:val="16"/>
              </w:rPr>
              <w:t>Accounts / Welfare Office</w:t>
            </w:r>
          </w:p>
        </w:tc>
        <w:tc>
          <w:tcPr>
            <w:tcW w:w="4920" w:type="dxa"/>
            <w:tcMar>
              <w:top w:w="55" w:type="dxa"/>
              <w:left w:w="80" w:type="dxa"/>
              <w:bottom w:w="55" w:type="dxa"/>
              <w:right w:w="80" w:type="dxa"/>
            </w:tcMar>
          </w:tcPr>
          <w:p w14:paraId="3584A149" w14:textId="77777777" w:rsidR="00C85536" w:rsidRDefault="00F532CA">
            <w:r>
              <w:rPr>
                <w:sz w:val="16"/>
                <w:szCs w:val="16"/>
              </w:rPr>
              <w:t>Bills mix eligible/non-eligible items; no automated rate lookup.</w:t>
            </w:r>
          </w:p>
        </w:tc>
      </w:tr>
      <w:tr w:rsidR="00C85536" w14:paraId="3584A14E" w14:textId="77777777">
        <w:trPr>
          <w:cantSplit/>
        </w:trPr>
        <w:tc>
          <w:tcPr>
            <w:tcW w:w="2500" w:type="dxa"/>
            <w:shd w:val="clear" w:color="auto" w:fill="F2F2F2"/>
            <w:tcMar>
              <w:top w:w="55" w:type="dxa"/>
              <w:left w:w="80" w:type="dxa"/>
              <w:bottom w:w="55" w:type="dxa"/>
              <w:right w:w="80" w:type="dxa"/>
            </w:tcMar>
          </w:tcPr>
          <w:p w14:paraId="3584A14B" w14:textId="77777777" w:rsidR="00C85536" w:rsidRDefault="00F532CA">
            <w:r>
              <w:rPr>
                <w:sz w:val="16"/>
                <w:szCs w:val="16"/>
              </w:rPr>
              <w:t>Referral-to-claim linkage hard to verify</w:t>
            </w:r>
          </w:p>
        </w:tc>
        <w:tc>
          <w:tcPr>
            <w:tcW w:w="2000" w:type="dxa"/>
            <w:tcMar>
              <w:top w:w="55" w:type="dxa"/>
              <w:left w:w="80" w:type="dxa"/>
              <w:bottom w:w="55" w:type="dxa"/>
              <w:right w:w="80" w:type="dxa"/>
            </w:tcMar>
          </w:tcPr>
          <w:p w14:paraId="3584A14C" w14:textId="77777777" w:rsidR="00C85536" w:rsidRDefault="00F532CA">
            <w:r>
              <w:rPr>
                <w:sz w:val="16"/>
                <w:szCs w:val="16"/>
              </w:rPr>
              <w:t>Accounts, CMO</w:t>
            </w:r>
          </w:p>
        </w:tc>
        <w:tc>
          <w:tcPr>
            <w:tcW w:w="4920" w:type="dxa"/>
            <w:tcMar>
              <w:top w:w="55" w:type="dxa"/>
              <w:left w:w="80" w:type="dxa"/>
              <w:bottom w:w="55" w:type="dxa"/>
              <w:right w:w="80" w:type="dxa"/>
            </w:tcMar>
          </w:tcPr>
          <w:p w14:paraId="3584A14D" w14:textId="77777777" w:rsidR="00C85536" w:rsidRDefault="00F532CA">
            <w:r>
              <w:rPr>
                <w:sz w:val="16"/>
                <w:szCs w:val="16"/>
              </w:rPr>
              <w:t>Referral and claim tracked as separate paper trails.</w:t>
            </w:r>
          </w:p>
        </w:tc>
      </w:tr>
      <w:tr w:rsidR="00C85536" w14:paraId="3584A152" w14:textId="77777777">
        <w:trPr>
          <w:cantSplit/>
        </w:trPr>
        <w:tc>
          <w:tcPr>
            <w:tcW w:w="2500" w:type="dxa"/>
            <w:shd w:val="clear" w:color="auto" w:fill="F2F2F2"/>
            <w:tcMar>
              <w:top w:w="55" w:type="dxa"/>
              <w:left w:w="80" w:type="dxa"/>
              <w:bottom w:w="55" w:type="dxa"/>
              <w:right w:w="80" w:type="dxa"/>
            </w:tcMar>
          </w:tcPr>
          <w:p w14:paraId="3584A14F" w14:textId="77777777" w:rsidR="00C85536" w:rsidRDefault="00F532CA">
            <w:r>
              <w:rPr>
                <w:sz w:val="16"/>
                <w:szCs w:val="16"/>
              </w:rPr>
              <w:t>Duplicate / split claims undetected</w:t>
            </w:r>
          </w:p>
        </w:tc>
        <w:tc>
          <w:tcPr>
            <w:tcW w:w="2000" w:type="dxa"/>
            <w:tcMar>
              <w:top w:w="55" w:type="dxa"/>
              <w:left w:w="80" w:type="dxa"/>
              <w:bottom w:w="55" w:type="dxa"/>
              <w:right w:w="80" w:type="dxa"/>
            </w:tcMar>
          </w:tcPr>
          <w:p w14:paraId="3584A150" w14:textId="77777777" w:rsidR="00C85536" w:rsidRDefault="00F532CA">
            <w:r>
              <w:rPr>
                <w:sz w:val="16"/>
                <w:szCs w:val="16"/>
              </w:rPr>
              <w:t>Finance Office</w:t>
            </w:r>
          </w:p>
        </w:tc>
        <w:tc>
          <w:tcPr>
            <w:tcW w:w="4920" w:type="dxa"/>
            <w:tcMar>
              <w:top w:w="55" w:type="dxa"/>
              <w:left w:w="80" w:type="dxa"/>
              <w:bottom w:w="55" w:type="dxa"/>
              <w:right w:w="80" w:type="dxa"/>
            </w:tcMar>
          </w:tcPr>
          <w:p w14:paraId="3584A151" w14:textId="77777777" w:rsidR="00C85536" w:rsidRDefault="00F532CA">
            <w:r>
              <w:rPr>
                <w:sz w:val="16"/>
                <w:szCs w:val="16"/>
              </w:rPr>
              <w:t>No centralized record-matching across submissions.</w:t>
            </w:r>
          </w:p>
        </w:tc>
      </w:tr>
      <w:tr w:rsidR="00C85536" w14:paraId="3584A156" w14:textId="77777777">
        <w:trPr>
          <w:cantSplit/>
        </w:trPr>
        <w:tc>
          <w:tcPr>
            <w:tcW w:w="2500" w:type="dxa"/>
            <w:shd w:val="clear" w:color="auto" w:fill="F2F2F2"/>
            <w:tcMar>
              <w:top w:w="55" w:type="dxa"/>
              <w:left w:w="80" w:type="dxa"/>
              <w:bottom w:w="55" w:type="dxa"/>
              <w:right w:w="80" w:type="dxa"/>
            </w:tcMar>
          </w:tcPr>
          <w:p w14:paraId="3584A153" w14:textId="77777777" w:rsidR="00C85536" w:rsidRDefault="00F532CA">
            <w:r>
              <w:rPr>
                <w:sz w:val="16"/>
                <w:szCs w:val="16"/>
              </w:rPr>
              <w:t>Long approval cycle times</w:t>
            </w:r>
          </w:p>
        </w:tc>
        <w:tc>
          <w:tcPr>
            <w:tcW w:w="2000" w:type="dxa"/>
            <w:tcMar>
              <w:top w:w="55" w:type="dxa"/>
              <w:left w:w="80" w:type="dxa"/>
              <w:bottom w:w="55" w:type="dxa"/>
              <w:right w:w="80" w:type="dxa"/>
            </w:tcMar>
          </w:tcPr>
          <w:p w14:paraId="3584A154" w14:textId="77777777" w:rsidR="00C85536" w:rsidRDefault="00F532CA">
            <w:r>
              <w:rPr>
                <w:sz w:val="16"/>
                <w:szCs w:val="16"/>
              </w:rPr>
              <w:t>Employees, approvers</w:t>
            </w:r>
          </w:p>
        </w:tc>
        <w:tc>
          <w:tcPr>
            <w:tcW w:w="4920" w:type="dxa"/>
            <w:tcMar>
              <w:top w:w="55" w:type="dxa"/>
              <w:left w:w="80" w:type="dxa"/>
              <w:bottom w:w="55" w:type="dxa"/>
              <w:right w:w="80" w:type="dxa"/>
            </w:tcMar>
          </w:tcPr>
          <w:p w14:paraId="3584A155" w14:textId="77777777" w:rsidR="00C85536" w:rsidRDefault="00F532CA">
            <w:r>
              <w:rPr>
                <w:sz w:val="16"/>
                <w:szCs w:val="16"/>
              </w:rPr>
              <w:t>Multiple manual hand-offs across site/area/regional offices.</w:t>
            </w:r>
          </w:p>
        </w:tc>
      </w:tr>
      <w:tr w:rsidR="00C85536" w14:paraId="3584A15A" w14:textId="77777777">
        <w:trPr>
          <w:cantSplit/>
        </w:trPr>
        <w:tc>
          <w:tcPr>
            <w:tcW w:w="2500" w:type="dxa"/>
            <w:shd w:val="clear" w:color="auto" w:fill="F2F2F2"/>
            <w:tcMar>
              <w:top w:w="55" w:type="dxa"/>
              <w:left w:w="80" w:type="dxa"/>
              <w:bottom w:w="55" w:type="dxa"/>
              <w:right w:w="80" w:type="dxa"/>
            </w:tcMar>
          </w:tcPr>
          <w:p w14:paraId="3584A157" w14:textId="77777777" w:rsidR="00C85536" w:rsidRDefault="00F532CA">
            <w:r>
              <w:rPr>
                <w:sz w:val="16"/>
                <w:szCs w:val="16"/>
              </w:rPr>
              <w:t>Inconsistent rate-schedule application</w:t>
            </w:r>
          </w:p>
        </w:tc>
        <w:tc>
          <w:tcPr>
            <w:tcW w:w="2000" w:type="dxa"/>
            <w:tcMar>
              <w:top w:w="55" w:type="dxa"/>
              <w:left w:w="80" w:type="dxa"/>
              <w:bottom w:w="55" w:type="dxa"/>
              <w:right w:w="80" w:type="dxa"/>
            </w:tcMar>
          </w:tcPr>
          <w:p w14:paraId="3584A158" w14:textId="77777777" w:rsidR="00C85536" w:rsidRDefault="00F532CA">
            <w:r>
              <w:rPr>
                <w:sz w:val="16"/>
                <w:szCs w:val="16"/>
              </w:rPr>
              <w:t>Accounts staff</w:t>
            </w:r>
          </w:p>
        </w:tc>
        <w:tc>
          <w:tcPr>
            <w:tcW w:w="4920" w:type="dxa"/>
            <w:tcMar>
              <w:top w:w="55" w:type="dxa"/>
              <w:left w:w="80" w:type="dxa"/>
              <w:bottom w:w="55" w:type="dxa"/>
              <w:right w:w="80" w:type="dxa"/>
            </w:tcMar>
          </w:tcPr>
          <w:p w14:paraId="3584A159" w14:textId="77777777" w:rsidR="00C85536" w:rsidRDefault="00F532CA">
            <w:r>
              <w:rPr>
                <w:sz w:val="16"/>
                <w:szCs w:val="16"/>
              </w:rPr>
              <w:t>Rates vary by city/category, not systematically applied.</w:t>
            </w:r>
          </w:p>
        </w:tc>
      </w:tr>
    </w:tbl>
    <w:p w14:paraId="3584A15B" w14:textId="77777777" w:rsidR="00C85536" w:rsidRDefault="00C85536">
      <w:pPr>
        <w:spacing w:after="50"/>
      </w:pPr>
    </w:p>
    <w:p w14:paraId="3584A15C" w14:textId="77777777" w:rsidR="00C85536" w:rsidRDefault="00F532CA">
      <w:pPr>
        <w:spacing w:before="70" w:after="25"/>
      </w:pPr>
      <w:r>
        <w:rPr>
          <w:b/>
          <w:bCs/>
          <w:color w:val="2E6F95"/>
          <w:sz w:val="19"/>
          <w:szCs w:val="19"/>
        </w:rPr>
        <w:t>Scale &amp; Evidence of the Problem</w:t>
      </w:r>
    </w:p>
    <w:p w14:paraId="3584A15D" w14:textId="77777777" w:rsidR="00C85536" w:rsidRDefault="00F532CA">
      <w:pPr>
        <w:pStyle w:val="ListParagraph"/>
        <w:numPr>
          <w:ilvl w:val="0"/>
          <w:numId w:val="2"/>
        </w:numPr>
        <w:spacing w:after="35" w:line="245" w:lineRule="auto"/>
      </w:pPr>
      <w:r>
        <w:t xml:space="preserve">Coal India Limited operates 313 mines across 84 areas in 8 states and had 2,20,272 employees on 1 April 2025 (2,14,333 on 1 January 2026). Its medical network comprises 64 hospitals, 300 dispensaries and 3,781 beds, plus 200+ empanelled private hospitals (Ministry of Coal Annual Report 2025-26; CIL empanelment list, 2024). Post-retirement medical-scheme enrolment figures are not uniformly published and are omitted pending a verifiable primary source.</w:t>
      </w:r>
    </w:p>
    <w:p w14:paraId="3584A15E" w14:textId="77777777" w:rsidR="00C85536" w:rsidRDefault="00F532CA">
      <w:pPr>
        <w:pStyle w:val="ListParagraph"/>
        <w:numPr>
          <w:ilvl w:val="0"/>
          <w:numId w:val="2"/>
        </w:numPr>
        <w:spacing w:after="35" w:line="245" w:lineRule="auto"/>
      </w:pPr>
      <w:r>
        <w:t xml:space="preserve">Coal India's Medical Attendance Rules (MAR), like comparable PSU rulebooks, are a reimbursement-rate framework; cashless facility at empanelled hospitals is a separate arrangement layered on via later circulars and, per field accounts, does not always function as intended.</w:t>
      </w:r>
    </w:p>
    <w:p w14:paraId="3584B001" w14:textId="3584B001" w:rsidR="00C85536" w:rsidRDefault="00F532CA">
      <w:pPr>
        <w:pStyle w:val="ListParagraph"/>
        <w:numPr>
          <w:ilvl w:val="0"/>
          <w:numId w:val="2"/>
        </w:numPr>
        <w:spacing w:after="35" w:line="245" w:lineRule="auto"/>
      </w:pPr>
      <w:r>
        <w:t xml:space="preserve">Unlike organizations that route claims through a commercial Third-Party Administrator (TPA) such as Medi Assist or Vidal Health, Coal India administers medical benefits in-house — own dispensaries, company hospitals, directly empanelled facilities, subsidiary HR/Medical departments (e.g., ECL, NCL, CCL), and, for retirees, the CPRMSE portal — so claim verification is a sequential, PSU-internal process rather than a TPA's single-point digital workflow.</w:t>
      </w:r>
    </w:p>
    <w:p w14:paraId="3584A15F" w14:textId="77777777" w:rsidR="00C85536" w:rsidRDefault="00F532CA">
      <w:pPr>
        <w:pStyle w:val="ListParagraph"/>
        <w:numPr>
          <w:ilvl w:val="0"/>
          <w:numId w:val="2"/>
        </w:numPr>
        <w:spacing w:after="35" w:line="245" w:lineRule="auto"/>
      </w:pPr>
      <w:r>
        <w:t xml:space="preserve">We found no published referral-volume or claims-defect data for Coal India. As a proxy at comparable scale, the Central Government Health Scheme (CGHS) also runs on a referral → empanelled hospital → bill scrutiny → reimbursement model; a CAG audit found hospitals over-billed </w:t>
      </w:r>
      <w:r>
        <w:rPr>
          <w:b/>
          <w:bCs/>
        </w:rPr>
        <w:t xml:space="preserve">₹571.03 crore</w:t>
      </w:r>
      <w:r>
        <w:t xml:space="preserve"> across </w:t>
      </w:r>
      <w:r>
        <w:rPr>
          <w:b/>
          <w:bCs/>
        </w:rPr>
        <w:t xml:space="preserve">15.37 lakh claims</w:t>
      </w:r>
      <w:r>
        <w:t xml:space="preserve"> and </w:t>
      </w:r>
      <w:r>
        <w:rPr>
          <w:b/>
          <w:bCs/>
        </w:rPr>
        <w:t xml:space="preserve">₹527.62 crore</w:t>
      </w:r>
      <w:r>
        <w:t xml:space="preserve"> pending settlement in 6.32 lakh cases (CAG Report No. 17 of 2022, Performance Audit of Procurement and Supply of Drugs in CGHS, Chapter III, 2016-17 to 2020-21).</w:t>
      </w:r>
    </w:p>
    <w:p w14:paraId="3584A160" w14:textId="4C4088EC" w:rsidR="00C85536" w:rsidRDefault="000D3CEE">
      <w:pPr>
        <w:pStyle w:val="ListParagraph"/>
        <w:numPr>
          <w:ilvl w:val="0"/>
          <w:numId w:val="2"/>
        </w:numPr>
        <w:spacing w:after="35" w:line="245" w:lineRule="auto"/>
      </w:pPr>
      <w:r>
        <w:t xml:space="preserve">Per field accounts, for </w:t>
      </w:r>
      <w:r>
        <w:rPr>
          <w:b/>
          <w:bCs/>
          <w:color w:val="E97132" w:themeColor="accent2"/>
        </w:rPr>
        <w:t xml:space="preserve">hospitalization</w:t>
      </w:r>
      <w:r>
        <w:t xml:space="preserve">, the empanelled hospital typically sends a treatment estimate to the local Coal India office, which approves and pays against it; if the final bill exceeds the estimate, the employee pays the gap and files a separate claim. Both this balance-claim cycle and the OPD reimbursement cycle reportedly take approximately </w:t>
      </w:r>
      <w:r>
        <w:rPr>
          <w:b/>
          <w:bCs/>
        </w:rPr>
        <w:t xml:space="preserve">3–4 months</w:t>
      </w:r>
      <w:r>
        <w:t xml:space="preserve">, and retirees report </w:t>
      </w:r>
      <w:r>
        <w:rPr>
          <w:b/>
          <w:bCs/>
        </w:rPr>
        <w:t xml:space="preserve">5–6 months</w:t>
      </w:r>
      <w:r>
        <w:t xml:space="preserve">. These are field-reported, not audited company figures, though directionally consistent with the CGHS pendency data above and with a Jharkhand High Court matter in which a rejected claim was directed to be reconsidered within </w:t>
      </w:r>
      <w:r>
        <w:rPr>
          <w:b/>
          <w:bCs/>
        </w:rPr>
        <w:t xml:space="preserve">16 weeks (~4 months)</w:t>
      </w:r>
      <w:r>
        <w:t xml:space="preserve"> (W.P.(S) No. 4255 of 2024, as recited in </w:t>
      </w:r>
      <w:r>
        <w:rPr>
          <w:i/>
          <w:iCs/>
        </w:rPr>
        <w:t xml:space="preserve">Mukhtar Alam v. Coal India Ltd. &amp; Ors.</w:t>
      </w:r>
      <w:r>
        <w:t xml:space="preserve">, W.P.(S) No. 418 of 2025, Jharkhand HC, 4 Sept. 2025, 2025:JHHC:27849).</w:t>
      </w:r>
    </w:p>
    <w:p w14:paraId="3584A161" w14:textId="77777777" w:rsidR="00C85536" w:rsidRDefault="00F532CA">
      <w:pPr>
        <w:pStyle w:val="Heading1"/>
        <w:spacing w:before="150" w:after="60"/>
      </w:pPr>
      <w:r>
        <w:rPr>
          <w:b/>
          <w:bCs/>
          <w:color w:val="1F3B57"/>
          <w:sz w:val="22"/>
          <w:szCs w:val="22"/>
        </w:rPr>
        <w:t>4. Goals &amp; Success Criteria</w:t>
      </w:r>
    </w:p>
    <w:p w14:paraId="3584A162" w14:textId="77777777" w:rsidR="00C85536" w:rsidRDefault="00F532CA">
      <w:pPr>
        <w:pStyle w:val="ListParagraph"/>
        <w:numPr>
          <w:ilvl w:val="0"/>
          <w:numId w:val="2"/>
        </w:numPr>
        <w:spacing w:after="35" w:line="245" w:lineRule="auto"/>
      </w:pPr>
      <w:r>
        <w:t xml:space="preserve">Reduce claim cycle time from the field-reported </w:t>
      </w:r>
      <w:r>
        <w:rPr>
          <w:b/>
          <w:bCs/>
        </w:rPr>
        <w:t>3–4 months</w:t>
      </w:r>
      <w:r>
        <w:t xml:space="preserve"> to </w:t>
      </w:r>
      <w:r>
        <w:rPr>
          <w:b/>
          <w:bCs/>
        </w:rPr>
        <w:t>under 48 hours</w:t>
      </w:r>
      <w:r>
        <w:t xml:space="preserve"> for standard, compliant claims — the platform's primary objective.</w:t>
      </w:r>
    </w:p>
    <w:p w14:paraId="3584A163" w14:textId="77777777" w:rsidR="00C85536" w:rsidRDefault="00F532CA">
      <w:pPr>
        <w:pStyle w:val="ListParagraph"/>
        <w:numPr>
          <w:ilvl w:val="0"/>
          <w:numId w:val="2"/>
        </w:numPr>
        <w:spacing w:after="35" w:line="245" w:lineRule="auto"/>
      </w:pPr>
      <w:r>
        <w:t>Reduce manual effort per claim, particularly bill line-item verification.</w:t>
      </w:r>
    </w:p>
    <w:p w14:paraId="3584A164" w14:textId="77777777" w:rsidR="00C85536" w:rsidRDefault="00F532CA">
      <w:pPr>
        <w:pStyle w:val="ListParagraph"/>
        <w:numPr>
          <w:ilvl w:val="0"/>
          <w:numId w:val="2"/>
        </w:numPr>
        <w:spacing w:after="35" w:line="245" w:lineRule="auto"/>
      </w:pPr>
      <w:r>
        <w:t>Improve consistency in applying entitlement and rate-schedule rules.</w:t>
      </w:r>
    </w:p>
    <w:p w14:paraId="3584A165" w14:textId="77777777" w:rsidR="00C85536" w:rsidRDefault="00F532CA">
      <w:pPr>
        <w:pStyle w:val="ListParagraph"/>
        <w:numPr>
          <w:ilvl w:val="0"/>
          <w:numId w:val="2"/>
        </w:numPr>
        <w:spacing w:after="35" w:line="245" w:lineRule="auto"/>
      </w:pPr>
      <w:r>
        <w:t>Reduce duplicate or overlapping claims going undetected; improve employee visibility into claim status.</w:t>
      </w:r>
    </w:p>
    <w:p w14:paraId="3584A166" w14:textId="77777777" w:rsidR="00C85536" w:rsidRDefault="00F532CA">
      <w:pPr>
        <w:pStyle w:val="ListParagraph"/>
        <w:numPr>
          <w:ilvl w:val="0"/>
          <w:numId w:val="2"/>
        </w:numPr>
        <w:spacing w:after="35" w:line="245" w:lineRule="auto"/>
      </w:pPr>
      <w:r>
        <w:t>Maintain a clear, auditable trail from referral through to disbursement.</w:t>
      </w:r>
    </w:p>
    <w:p>
      <w:pPr>
        <w:spacing w:before="70" w:after="25"/>
      </w:pPr>
      <w:r>
        <w:rPr>
          <w:b/>
          <w:bCs/>
          <w:color w:val="2E6F95"/>
          <w:sz w:val="19"/>
          <w:szCs w:val="19"/>
        </w:rPr>
        <w:t>MVP success metrics</w:t>
      </w:r>
    </w:p>
    <w:p>
      <w:pPr>
        <w:pStyle w:val="ListParagraph"/>
        <w:numPr>
          <w:ilvl w:val="0"/>
          <w:numId w:val="2"/>
        </w:numPr>
        <w:spacing w:after="35" w:line="245" w:lineRule="auto"/>
      </w:pPr>
      <w:r>
        <w:rPr>
          <w:b/>
          <w:bCs/>
        </w:rPr>
        <w:t xml:space="preserve">Reading bills:</w:t>
      </w:r>
      <w:r>
        <w:t xml:space="preserve"> the system correctly reads at least 95% of the key details (patient, date, amount, items) on test bills.</w:t>
      </w:r>
    </w:p>
    <w:p>
      <w:pPr>
        <w:pStyle w:val="ListParagraph"/>
        <w:numPr>
          <w:ilvl w:val="0"/>
          <w:numId w:val="2"/>
        </w:numPr>
        <w:spacing w:after="35" w:line="245" w:lineRule="auto"/>
      </w:pPr>
      <w:r>
        <w:rPr>
          <w:b/>
          <w:bCs/>
        </w:rPr>
        <w:t xml:space="preserve">Policy check:</w:t>
      </w:r>
      <w:r>
        <w:t xml:space="preserve"> its rate and eligibility decisions match a human reviewer at least 90% of the time.</w:t>
      </w:r>
    </w:p>
    <w:p>
      <w:pPr>
        <w:pStyle w:val="ListParagraph"/>
        <w:numPr>
          <w:ilvl w:val="0"/>
          <w:numId w:val="2"/>
        </w:numPr>
        <w:spacing w:after="35" w:line="245" w:lineRule="auto"/>
      </w:pPr>
      <w:r>
        <w:rPr>
          <w:b/>
          <w:bCs/>
        </w:rPr>
        <w:t xml:space="preserve">Duplicate claims:</w:t>
      </w:r>
      <w:r>
        <w:t xml:space="preserve"> it catches at least 90% of the duplicate or split claims placed in the test data.</w:t>
      </w:r>
    </w:p>
    <w:p>
      <w:pPr>
        <w:pStyle w:val="ListParagraph"/>
        <w:numPr>
          <w:ilvl w:val="0"/>
          <w:numId w:val="2"/>
        </w:numPr>
        <w:spacing w:after="35" w:line="245" w:lineRule="auto"/>
      </w:pPr>
      <w:r>
        <w:rPr>
          <w:b/>
          <w:bCs/>
        </w:rPr>
        <w:t xml:space="preserve">Speed:</w:t>
      </w:r>
      <w:r>
        <w:t xml:space="preserve"> a reviewer gets a ready summary in under 5 minutes per claim.</w:t>
      </w:r>
    </w:p>
    <w:p>
      <w:pPr>
        <w:pStyle w:val="ListParagraph"/>
        <w:numPr>
          <w:ilvl w:val="0"/>
          <w:numId w:val="2"/>
        </w:numPr>
        <w:spacing w:after="35" w:line="245" w:lineRule="auto"/>
      </w:pPr>
      <w:r>
        <w:rPr>
          <w:b/>
          <w:bCs/>
        </w:rPr>
        <w:t xml:space="preserve">Clear reasons:</w:t>
      </w:r>
      <w:r>
        <w:t xml:space="preserve"> if a claim needs a closer look, the system tells the reviewer why and names the policy rule.</w:t>
      </w:r>
    </w:p>
    <w:p w14:paraId="3584A167" w14:textId="77777777" w:rsidR="00C85536" w:rsidRDefault="00F532CA">
      <w:pPr>
        <w:pStyle w:val="Heading1"/>
        <w:spacing w:before="150" w:after="60"/>
      </w:pPr>
      <w:r>
        <w:rPr>
          <w:b/>
          <w:bCs/>
          <w:color w:val="1F3B57"/>
          <w:sz w:val="22"/>
          <w:szCs w:val="22"/>
        </w:rPr>
        <w:t>5. Core Technical Architecture — Three AI Pillars</w:t>
      </w:r>
    </w:p>
    <w:p w14:paraId="3584A168" w14:textId="77777777" w:rsidR="00C85536" w:rsidRDefault="00F532CA">
      <w:pPr>
        <w:spacing w:before="70" w:after="25"/>
      </w:pPr>
      <w:r>
        <w:rPr>
          <w:b/>
          <w:bCs/>
          <w:color w:val="2E6F95"/>
          <w:sz w:val="19"/>
          <w:szCs w:val="19"/>
        </w:rPr>
        <w:t>Pillar 1: Multimodal Ingestion Layer (Generative &amp; Vision AI)</w:t>
      </w:r>
    </w:p>
    <w:p w14:paraId="3584A169" w14:textId="77777777" w:rsidR="00C85536" w:rsidRDefault="00F532CA">
      <w:pPr>
        <w:pStyle w:val="ListParagraph"/>
        <w:numPr>
          <w:ilvl w:val="0"/>
          <w:numId w:val="2"/>
        </w:numPr>
        <w:spacing w:after="35" w:line="245" w:lineRule="auto"/>
      </w:pPr>
      <w:r>
        <w:t>Multimodal Layout Extraction: reads machine-printed text and semi-legible doctor handwriting from prescriptions and discharge notes.</w:t>
      </w:r>
    </w:p>
    <w:p w14:paraId="3584A16A" w14:textId="77777777" w:rsidR="00C85536" w:rsidRDefault="00F532CA">
      <w:pPr>
        <w:pStyle w:val="ListParagraph"/>
        <w:numPr>
          <w:ilvl w:val="0"/>
          <w:numId w:val="2"/>
        </w:numPr>
        <w:spacing w:after="35" w:line="245" w:lineRule="auto"/>
      </w:pPr>
      <w:r>
        <w:t>Tabular Layout Parsing: parses multi-page invoices into clean row-and-column data with strict line-item linkage.</w:t>
      </w:r>
    </w:p>
    <w:p w14:paraId="3584A16B" w14:textId="77777777" w:rsidR="00C85536" w:rsidRDefault="00F532CA">
      <w:pPr>
        <w:pStyle w:val="ListParagraph"/>
        <w:numPr>
          <w:ilvl w:val="0"/>
          <w:numId w:val="2"/>
        </w:numPr>
        <w:spacing w:after="35" w:line="245" w:lineRule="auto"/>
      </w:pPr>
      <w:r>
        <w:t>Low-Quality Scan Resiliency: corrects skew, folds, lighting, and low resolution typical of remote-site capture.</w:t>
      </w:r>
    </w:p>
    <w:p w14:paraId="3584A16C" w14:textId="77777777" w:rsidR="00C85536" w:rsidRDefault="00F532CA">
      <w:pPr>
        <w:pStyle w:val="ListParagraph"/>
        <w:numPr>
          <w:ilvl w:val="0"/>
          <w:numId w:val="2"/>
        </w:numPr>
        <w:spacing w:after="35" w:line="245" w:lineRule="auto"/>
      </w:pPr>
      <w:r>
        <w:t>Standardized JSON Output: structured object with verified names, values, dates, and clinical text — no manual entry.</w:t>
      </w:r>
    </w:p>
    <w:p w14:paraId="3584A16D" w14:textId="77777777" w:rsidR="00C85536" w:rsidRDefault="00F532CA">
      <w:pPr>
        <w:spacing w:before="70" w:after="25"/>
      </w:pPr>
      <w:r>
        <w:rPr>
          <w:b/>
          <w:bCs/>
          <w:color w:val="2E6F95"/>
          <w:sz w:val="19"/>
          <w:szCs w:val="19"/>
        </w:rPr>
        <w:t>Pillar 2: Agentic Policy RAG Layer (Agentic AI &amp; Knowledge Retrieval)</w:t>
      </w:r>
    </w:p>
    <w:p w14:paraId="3584A16E" w14:textId="77777777" w:rsidR="00C85536" w:rsidRDefault="00F532CA">
      <w:pPr>
        <w:pStyle w:val="ListParagraph"/>
        <w:numPr>
          <w:ilvl w:val="0"/>
          <w:numId w:val="2"/>
        </w:numPr>
        <w:spacing w:after="35" w:line="245" w:lineRule="auto"/>
      </w:pPr>
      <w:r>
        <w:t>Vectorized Knowledge Framework: eligibility manuals, hospital agreements, and CGHS rate indexes as searchable vector nodes.</w:t>
      </w:r>
    </w:p>
    <w:p w14:paraId="3584A16F" w14:textId="77777777" w:rsidR="00C85536" w:rsidRDefault="00F532CA">
      <w:pPr>
        <w:pStyle w:val="ListParagraph"/>
        <w:numPr>
          <w:ilvl w:val="0"/>
          <w:numId w:val="2"/>
        </w:numPr>
        <w:spacing w:after="35" w:line="245" w:lineRule="auto"/>
      </w:pPr>
      <w:r>
        <w:t>Semantic Nomenclature Mapping: matches varied hospital billing names to the official rate-handbook entry.</w:t>
      </w:r>
    </w:p>
    <w:p w14:paraId="3584A170" w14:textId="77777777" w:rsidR="00C85536" w:rsidRDefault="00F532CA">
      <w:pPr>
        <w:pStyle w:val="ListParagraph"/>
        <w:numPr>
          <w:ilvl w:val="0"/>
          <w:numId w:val="2"/>
        </w:numPr>
        <w:spacing w:after="35" w:line="245" w:lineRule="auto"/>
      </w:pPr>
      <w:r>
        <w:t>Autonomous Entitlement Verification: checks items against grade limitations, capping unapproved items automatically.</w:t>
      </w:r>
    </w:p>
    <w:p w14:paraId="3584A171" w14:textId="77777777" w:rsidR="00C85536" w:rsidRDefault="00F532CA">
      <w:pPr>
        <w:pStyle w:val="ListParagraph"/>
        <w:numPr>
          <w:ilvl w:val="0"/>
          <w:numId w:val="2"/>
        </w:numPr>
        <w:spacing w:after="35" w:line="245" w:lineRule="auto"/>
      </w:pPr>
      <w:r>
        <w:t>Automated Variance Flagging: transparent, line-by-line compliance log for cost variances or rule overruns.</w:t>
      </w:r>
    </w:p>
    <w:p w14:paraId="3584A172" w14:textId="77777777" w:rsidR="00C85536" w:rsidRDefault="00F532CA">
      <w:pPr>
        <w:pStyle w:val="ListParagraph"/>
        <w:numPr>
          <w:ilvl w:val="0"/>
          <w:numId w:val="2"/>
        </w:numPr>
        <w:spacing w:after="35" w:line="245" w:lineRule="auto"/>
      </w:pPr>
      <w:r>
        <w:t>Real-Time Emergency Authorization: on a CMO-entered emergency referral, checks entitlement and empanelment and issues a digital authorization within minutes — replacing a multi-day manual sign-off chain.</w:t>
      </w:r>
    </w:p>
    <w:p w14:paraId="3584A173" w14:textId="77777777" w:rsidR="00C85536" w:rsidRDefault="00F532CA">
      <w:pPr>
        <w:spacing w:before="70" w:after="25"/>
      </w:pPr>
      <w:r>
        <w:rPr>
          <w:b/>
          <w:bCs/>
          <w:color w:val="2E6F95"/>
          <w:sz w:val="19"/>
          <w:szCs w:val="19"/>
        </w:rPr>
        <w:t>Pillar 3: Predictive Filter Engine (Predictive AI)</w:t>
      </w:r>
    </w:p>
    <w:p w14:paraId="3584A174" w14:textId="77777777" w:rsidR="00C85536" w:rsidRDefault="00F532CA">
      <w:pPr>
        <w:pStyle w:val="ListParagraph"/>
        <w:numPr>
          <w:ilvl w:val="0"/>
          <w:numId w:val="2"/>
        </w:numPr>
        <w:spacing w:after="35" w:line="245" w:lineRule="auto"/>
      </w:pPr>
      <w:r>
        <w:t>Fraud &amp; Anomaly Scoring: flags suspect procedure mixes or out-of-network costs against historical baselines.</w:t>
      </w:r>
    </w:p>
    <w:p w14:paraId="3584A175" w14:textId="77777777" w:rsidR="00C85536" w:rsidRDefault="00F532CA">
      <w:pPr>
        <w:pStyle w:val="ListParagraph"/>
        <w:numPr>
          <w:ilvl w:val="0"/>
          <w:numId w:val="2"/>
        </w:numPr>
        <w:spacing w:after="35" w:line="245" w:lineRule="auto"/>
      </w:pPr>
      <w:r>
        <w:t>Temporal Duplicate Detection: isolates split bills or overlapping clinical dates across an employee's timeline.</w:t>
      </w:r>
    </w:p>
    <w:p w14:paraId="3584A176" w14:textId="77777777" w:rsidR="00C85536" w:rsidRDefault="00F532CA">
      <w:pPr>
        <w:pStyle w:val="ListParagraph"/>
        <w:numPr>
          <w:ilvl w:val="0"/>
          <w:numId w:val="2"/>
        </w:numPr>
        <w:spacing w:after="35" w:line="245" w:lineRule="auto"/>
      </w:pPr>
      <w:r>
        <w:t>Referral Linkage Audit: matches the claim to the original CMO referral code to ensure verified linkage.</w:t>
      </w:r>
    </w:p>
    <w:p w14:paraId="3584A177" w14:textId="77777777" w:rsidR="00C85536" w:rsidRDefault="00F532CA">
      <w:pPr>
        <w:pStyle w:val="ListParagraph"/>
        <w:numPr>
          <w:ilvl w:val="0"/>
          <w:numId w:val="2"/>
        </w:numPr>
        <w:spacing w:after="35" w:line="245" w:lineRule="auto"/>
      </w:pPr>
      <w:r>
        <w:t>Smart Queue Routing: low-risk claims auto-approve; high-risk edge cases route to human auditors.</w:t>
      </w:r>
    </w:p>
    <w:p w14:paraId="3584A178" w14:textId="77777777" w:rsidR="00C85536" w:rsidRDefault="00F532CA">
      <w:pPr>
        <w:pStyle w:val="Heading1"/>
        <w:spacing w:before="150" w:after="60"/>
      </w:pPr>
      <w:r>
        <w:rPr>
          <w:b/>
          <w:bCs/>
          <w:color w:val="1F3B57"/>
          <w:sz w:val="22"/>
          <w:szCs w:val="22"/>
        </w:rPr>
        <w:t>6. Where This Uses the Most Advanced AI Techniques</w:t>
      </w:r>
    </w:p>
    <w:p w14:paraId="3584A179" w14:textId="77777777" w:rsidR="00C85536" w:rsidRDefault="00F532CA">
      <w:pPr>
        <w:pStyle w:val="ListParagraph"/>
        <w:numPr>
          <w:ilvl w:val="0"/>
          <w:numId w:val="2"/>
        </w:numPr>
        <w:spacing w:after="35" w:line="245" w:lineRule="auto"/>
      </w:pPr>
      <w:r>
        <w:rPr>
          <w:b/>
          <w:bCs/>
        </w:rPr>
        <w:t xml:space="preserve">Multimodal LLMs: </w:t>
      </w:r>
      <w:r>
        <w:t>Vision-language foundation models read print, handwriting, stamps, and degraded scans in one pass.</w:t>
      </w:r>
    </w:p>
    <w:p w14:paraId="3584A17A" w14:textId="77777777" w:rsidR="00C85536" w:rsidRDefault="00F532CA">
      <w:pPr>
        <w:pStyle w:val="ListParagraph"/>
        <w:numPr>
          <w:ilvl w:val="0"/>
          <w:numId w:val="2"/>
        </w:numPr>
        <w:spacing w:after="35" w:line="245" w:lineRule="auto"/>
      </w:pPr>
      <w:r>
        <w:rPr>
          <w:b/>
          <w:bCs/>
        </w:rPr>
        <w:t xml:space="preserve">Agentic AI: </w:t>
      </w:r>
      <w:r>
        <w:t>Plans, calls retrieval/calculation tools, and chains multi-step reasoning autonomously, not fixed if-then rules.</w:t>
      </w:r>
    </w:p>
    <w:p w14:paraId="3584A17B" w14:textId="77777777" w:rsidR="00C85536" w:rsidRDefault="00F532CA">
      <w:pPr>
        <w:pStyle w:val="ListParagraph"/>
        <w:numPr>
          <w:ilvl w:val="0"/>
          <w:numId w:val="2"/>
        </w:numPr>
        <w:spacing w:after="35" w:line="245" w:lineRule="auto"/>
      </w:pPr>
      <w:r>
        <w:rPr>
          <w:b/>
          <w:bCs/>
        </w:rPr>
        <w:t xml:space="preserve">Grounded RAG for auditability: </w:t>
      </w:r>
      <w:r>
        <w:t>Retrieval-augmented generation grounded in the PSU's own policy corpus, so every decision cites the clause relied on.</w:t>
      </w:r>
    </w:p>
    <w:p w14:paraId="3584A17C" w14:textId="77777777" w:rsidR="00C85536" w:rsidRDefault="00F532CA">
      <w:pPr>
        <w:pStyle w:val="ListParagraph"/>
        <w:numPr>
          <w:ilvl w:val="0"/>
          <w:numId w:val="2"/>
        </w:numPr>
        <w:spacing w:after="35" w:line="245" w:lineRule="auto"/>
      </w:pPr>
      <w:r>
        <w:rPr>
          <w:b/>
          <w:bCs/>
        </w:rPr>
        <w:t xml:space="preserve">Predictive / anomaly ML: </w:t>
      </w:r>
      <w:r>
        <w:t>Ensemble models continuously scored against live claim data, catching patterns static rate checks miss.</w:t>
      </w:r>
    </w:p>
    <w:p w14:paraId="3584A17D" w14:textId="77777777" w:rsidR="00C85536" w:rsidRDefault="00F532CA">
      <w:pPr>
        <w:pStyle w:val="ListParagraph"/>
        <w:numPr>
          <w:ilvl w:val="0"/>
          <w:numId w:val="2"/>
        </w:numPr>
        <w:spacing w:after="35" w:line="245" w:lineRule="auto"/>
      </w:pPr>
      <w:r>
        <w:rPr>
          <w:b/>
          <w:bCs/>
        </w:rPr>
        <w:t xml:space="preserve">Continuous learning loop: </w:t>
      </w:r>
      <w:r>
        <w:t>Auditor decisions on flagged claims are fed back to retrain extraction, matching, and risk models.</w:t>
      </w:r>
    </w:p>
    <w:p w14:paraId="3584A17E" w14:textId="77777777" w:rsidR="00C85536" w:rsidRDefault="00F532CA">
      <w:pPr>
        <w:pStyle w:val="ListParagraph"/>
        <w:numPr>
          <w:ilvl w:val="0"/>
          <w:numId w:val="2"/>
        </w:numPr>
        <w:spacing w:after="35" w:line="245" w:lineRule="auto"/>
      </w:pPr>
      <w:r>
        <w:rPr>
          <w:b/>
          <w:bCs/>
        </w:rPr>
        <w:t xml:space="preserve">Explainable AI &amp; human-in-the-loop: </w:t>
      </w:r>
      <w:r>
        <w:t>Every approval/flag carries a generated rationale; a human auditor is final authority on unusual or high-value cases.</w:t>
      </w:r>
    </w:p>
    <w:p w14:paraId="3584A17F" w14:textId="77777777" w:rsidR="00C85536" w:rsidRDefault="00F532CA">
      <w:pPr>
        <w:pStyle w:val="Heading1"/>
        <w:spacing w:before="150" w:after="60"/>
      </w:pPr>
      <w:r>
        <w:rPr>
          <w:b/>
          <w:bCs/>
          <w:color w:val="1F3B57"/>
          <w:sz w:val="22"/>
          <w:szCs w:val="22"/>
        </w:rPr>
        <w:t>7. Modeling &amp; Evaluation Approach</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020"/>
      </w:tblGrid>
      <w:tr w:rsidR="00C85536" w14:paraId="3584A182" w14:textId="77777777">
        <w:trPr>
          <w:cantSplit/>
          <w:tblHeader/>
        </w:trPr>
        <w:tc>
          <w:tcPr>
            <w:tcW w:w="2400" w:type="dxa"/>
            <w:shd w:val="clear" w:color="auto" w:fill="1F3B57"/>
            <w:tcMar>
              <w:top w:w="55" w:type="dxa"/>
              <w:left w:w="80" w:type="dxa"/>
              <w:bottom w:w="55" w:type="dxa"/>
              <w:right w:w="80" w:type="dxa"/>
            </w:tcMar>
          </w:tcPr>
          <w:p w14:paraId="3584A180" w14:textId="77777777" w:rsidR="00C85536" w:rsidRDefault="00F532CA">
            <w:r>
              <w:rPr>
                <w:b/>
                <w:bCs/>
                <w:color w:val="FFFFFF"/>
                <w:sz w:val="16"/>
                <w:szCs w:val="16"/>
              </w:rPr>
              <w:t>Layer</w:t>
            </w:r>
          </w:p>
        </w:tc>
        <w:tc>
          <w:tcPr>
            <w:tcW w:w="7020" w:type="dxa"/>
            <w:shd w:val="clear" w:color="auto" w:fill="1F3B57"/>
            <w:tcMar>
              <w:top w:w="55" w:type="dxa"/>
              <w:left w:w="80" w:type="dxa"/>
              <w:bottom w:w="55" w:type="dxa"/>
              <w:right w:w="80" w:type="dxa"/>
            </w:tcMar>
          </w:tcPr>
          <w:p w14:paraId="3584A181" w14:textId="77777777" w:rsidR="00C85536" w:rsidRDefault="00F532CA">
            <w:r>
              <w:rPr>
                <w:b/>
                <w:bCs/>
                <w:color w:val="FFFFFF"/>
                <w:sz w:val="16"/>
                <w:szCs w:val="16"/>
              </w:rPr>
              <w:t>Model Family / Metric</w:t>
            </w:r>
          </w:p>
        </w:tc>
      </w:tr>
      <w:tr w:rsidR="00C85536" w14:paraId="3584A185" w14:textId="77777777">
        <w:trPr>
          <w:cantSplit/>
        </w:trPr>
        <w:tc>
          <w:tcPr>
            <w:tcW w:w="2400" w:type="dxa"/>
            <w:shd w:val="clear" w:color="auto" w:fill="F2F2F2"/>
            <w:tcMar>
              <w:top w:w="55" w:type="dxa"/>
              <w:left w:w="80" w:type="dxa"/>
              <w:bottom w:w="55" w:type="dxa"/>
              <w:right w:w="80" w:type="dxa"/>
            </w:tcMar>
          </w:tcPr>
          <w:p w14:paraId="3584A183" w14:textId="77777777" w:rsidR="00C85536" w:rsidRDefault="00F532CA">
            <w:r>
              <w:rPr>
                <w:sz w:val="16"/>
                <w:szCs w:val="16"/>
              </w:rPr>
              <w:t>Ingestion (Pillar 1)</w:t>
            </w:r>
          </w:p>
        </w:tc>
        <w:tc>
          <w:tcPr>
            <w:tcW w:w="7020" w:type="dxa"/>
            <w:tcMar>
              <w:top w:w="55" w:type="dxa"/>
              <w:left w:w="80" w:type="dxa"/>
              <w:bottom w:w="55" w:type="dxa"/>
              <w:right w:w="80" w:type="dxa"/>
            </w:tcMar>
          </w:tcPr>
          <w:p w14:paraId="3584A184" w14:textId="77777777" w:rsidR="00C85536" w:rsidRDefault="00F532CA">
            <w:r>
              <w:rPr>
                <w:sz w:val="16"/>
                <w:szCs w:val="16"/>
              </w:rPr>
              <w:t>Multimodal vision-language model; evaluated on field-level extraction accuracy &amp; error rate vs. labelled bill sample.</w:t>
            </w:r>
          </w:p>
        </w:tc>
      </w:tr>
      <w:tr w:rsidR="00C85536" w14:paraId="3584A188" w14:textId="77777777">
        <w:trPr>
          <w:cantSplit/>
        </w:trPr>
        <w:tc>
          <w:tcPr>
            <w:tcW w:w="2400" w:type="dxa"/>
            <w:shd w:val="clear" w:color="auto" w:fill="F2F2F2"/>
            <w:tcMar>
              <w:top w:w="55" w:type="dxa"/>
              <w:left w:w="80" w:type="dxa"/>
              <w:bottom w:w="55" w:type="dxa"/>
              <w:right w:w="80" w:type="dxa"/>
            </w:tcMar>
          </w:tcPr>
          <w:p w14:paraId="3584A186" w14:textId="77777777" w:rsidR="00C85536" w:rsidRDefault="00F532CA">
            <w:r>
              <w:rPr>
                <w:sz w:val="16"/>
                <w:szCs w:val="16"/>
              </w:rPr>
              <w:t>Policy RAG (Pillar 2)</w:t>
            </w:r>
          </w:p>
        </w:tc>
        <w:tc>
          <w:tcPr>
            <w:tcW w:w="7020" w:type="dxa"/>
            <w:tcMar>
              <w:top w:w="55" w:type="dxa"/>
              <w:left w:w="80" w:type="dxa"/>
              <w:bottom w:w="55" w:type="dxa"/>
              <w:right w:w="80" w:type="dxa"/>
            </w:tcMar>
          </w:tcPr>
          <w:p w14:paraId="3584A187" w14:textId="77777777" w:rsidR="00C85536" w:rsidRDefault="00F532CA">
            <w:r>
              <w:rPr>
                <w:sz w:val="16"/>
                <w:szCs w:val="16"/>
              </w:rPr>
              <w:t xml:space="preserve">Embedding model + vector index + LLM agent; evaluated on retrieval precision@k, rate-matching accuracy, authorization latency.</w:t>
            </w:r>
          </w:p>
        </w:tc>
      </w:tr>
      <w:tr w:rsidR="00C85536" w14:paraId="3584A18B" w14:textId="77777777">
        <w:trPr>
          <w:cantSplit/>
        </w:trPr>
        <w:tc>
          <w:tcPr>
            <w:tcW w:w="2400" w:type="dxa"/>
            <w:shd w:val="clear" w:color="auto" w:fill="F2F2F2"/>
            <w:tcMar>
              <w:top w:w="55" w:type="dxa"/>
              <w:left w:w="80" w:type="dxa"/>
              <w:bottom w:w="55" w:type="dxa"/>
              <w:right w:w="80" w:type="dxa"/>
            </w:tcMar>
          </w:tcPr>
          <w:p w14:paraId="3584A189" w14:textId="77777777" w:rsidR="00C85536" w:rsidRDefault="00F532CA">
            <w:r>
              <w:rPr>
                <w:sz w:val="16"/>
                <w:szCs w:val="16"/>
              </w:rPr>
              <w:t>Risk Engine (Pillar 3)</w:t>
            </w:r>
          </w:p>
        </w:tc>
        <w:tc>
          <w:tcPr>
            <w:tcW w:w="7020" w:type="dxa"/>
            <w:tcMar>
              <w:top w:w="55" w:type="dxa"/>
              <w:left w:w="80" w:type="dxa"/>
              <w:bottom w:w="55" w:type="dxa"/>
              <w:right w:w="80" w:type="dxa"/>
            </w:tcMar>
          </w:tcPr>
          <w:p w14:paraId="3584A18A" w14:textId="77777777" w:rsidR="00C85536" w:rsidRDefault="00F532CA">
            <w:r>
              <w:rPr>
                <w:sz w:val="16"/>
                <w:szCs w:val="16"/>
              </w:rPr>
              <w:t>Gradient-boosted anomaly classifier; evaluated on precision-recall for flagged claims, false-positive rate on genuine claims.</w:t>
            </w:r>
          </w:p>
        </w:tc>
      </w:tr>
      <w:tr w:rsidR="00C85536" w14:paraId="3584A18E" w14:textId="77777777">
        <w:trPr>
          <w:cantSplit/>
        </w:trPr>
        <w:tc>
          <w:tcPr>
            <w:tcW w:w="2400" w:type="dxa"/>
            <w:shd w:val="clear" w:color="auto" w:fill="F2F2F2"/>
            <w:tcMar>
              <w:top w:w="55" w:type="dxa"/>
              <w:left w:w="80" w:type="dxa"/>
              <w:bottom w:w="55" w:type="dxa"/>
              <w:right w:w="80" w:type="dxa"/>
            </w:tcMar>
          </w:tcPr>
          <w:p w14:paraId="3584A18C" w14:textId="77777777" w:rsidR="00C85536" w:rsidRDefault="00F532CA">
            <w:r>
              <w:rPr>
                <w:sz w:val="16"/>
                <w:szCs w:val="16"/>
              </w:rPr>
              <w:t>End-to-end</w:t>
            </w:r>
          </w:p>
        </w:tc>
        <w:tc>
          <w:tcPr>
            <w:tcW w:w="7020" w:type="dxa"/>
            <w:tcMar>
              <w:top w:w="55" w:type="dxa"/>
              <w:left w:w="80" w:type="dxa"/>
              <w:bottom w:w="55" w:type="dxa"/>
              <w:right w:w="80" w:type="dxa"/>
            </w:tcMar>
          </w:tcPr>
          <w:p w14:paraId="3584A18D" w14:textId="77777777" w:rsidR="00C85536" w:rsidRDefault="00F532CA">
            <w:r>
              <w:rPr>
                <w:sz w:val="16"/>
                <w:szCs w:val="16"/>
              </w:rPr>
              <w:t>Straight-through processing rate (% auto-approved) and mean turnaround time vs. pilot baseline.</w:t>
            </w:r>
          </w:p>
        </w:tc>
      </w:tr>
    </w:tbl>
    <w:p w14:paraId="3584A18F" w14:textId="77777777" w:rsidR="00C85536" w:rsidRDefault="00C85536">
      <w:pPr>
        <w:spacing w:after="60"/>
      </w:pPr>
    </w:p>
    <w:p w14:paraId="3584A190" w14:textId="77777777" w:rsidR="00C85536" w:rsidRDefault="00F532CA">
      <w:pPr>
        <w:pStyle w:val="Heading1"/>
        <w:spacing w:before="150" w:after="60"/>
      </w:pPr>
      <w:r>
        <w:rPr>
          <w:b/>
          <w:bCs/>
          <w:color w:val="1F3B57"/>
          <w:sz w:val="22"/>
          <w:szCs w:val="22"/>
        </w:rPr>
        <w:t>8. Quantifiable Operational Impact Targets</w:t>
      </w:r>
    </w:p>
    <w:p w14:paraId="3584A191" w14:textId="77777777" w:rsidR="00C85536" w:rsidRDefault="00F532CA">
      <w:pPr>
        <w:pStyle w:val="ListParagraph"/>
        <w:numPr>
          <w:ilvl w:val="0"/>
          <w:numId w:val="2"/>
        </w:numPr>
        <w:spacing w:after="35" w:line="245" w:lineRule="auto"/>
      </w:pPr>
      <w:r>
        <w:t xml:space="preserve">Emergency Response Speed: authorization generated in </w:t>
      </w:r>
      <w:r>
        <w:rPr>
          <w:b/>
          <w:bCs/>
        </w:rPr>
        <w:t>minutes instead of days</w:t>
      </w:r>
      <w:r>
        <w:t>.</w:t>
      </w:r>
    </w:p>
    <w:p w14:paraId="3584A192" w14:textId="77777777" w:rsidR="00C85536" w:rsidRDefault="00F532CA">
      <w:pPr>
        <w:pStyle w:val="ListParagraph"/>
        <w:numPr>
          <w:ilvl w:val="0"/>
          <w:numId w:val="2"/>
        </w:numPr>
        <w:spacing w:after="35" w:line="245" w:lineRule="auto"/>
      </w:pPr>
      <w:r>
        <w:rPr>
          <w:b/>
          <w:bCs/>
        </w:rPr>
        <w:t>Turnaround Time Compression: settlement from several months (currently ~3–4 months by field account) to under 48 hours for standard compliant files</w:t>
      </w:r>
      <w:r>
        <w:t xml:space="preserve"> — the platform's primary objective.</w:t>
      </w:r>
    </w:p>
    <w:p w14:paraId="3584A193" w14:textId="77777777" w:rsidR="00C85536" w:rsidRDefault="00F532CA">
      <w:pPr>
        <w:pStyle w:val="ListParagraph"/>
        <w:numPr>
          <w:ilvl w:val="0"/>
          <w:numId w:val="2"/>
        </w:numPr>
        <w:spacing w:after="35" w:line="245" w:lineRule="auto"/>
      </w:pPr>
      <w:r>
        <w:lastRenderedPageBreak/>
        <w:t xml:space="preserve">Administrative Relief (target): automate up to </w:t>
      </w:r>
      <w:r>
        <w:rPr>
          <w:b/>
          <w:bCs/>
        </w:rPr>
        <w:t>80%</w:t>
      </w:r>
      <w:r>
        <w:t xml:space="preserve"> of repetitive data cross-checking.</w:t>
      </w:r>
    </w:p>
    <w:p w14:paraId="3584A194" w14:textId="77777777" w:rsidR="00C85536" w:rsidRDefault="00F532CA">
      <w:pPr>
        <w:pStyle w:val="ListParagraph"/>
        <w:numPr>
          <w:ilvl w:val="0"/>
          <w:numId w:val="2"/>
        </w:numPr>
        <w:spacing w:after="35" w:line="245" w:lineRule="auto"/>
      </w:pPr>
      <w:r>
        <w:t>Strict Audit Protection: permanent, pre-vetted digital compliance logs, defensible against internal and CAG-style audits.</w:t>
      </w:r>
    </w:p>
    <w:p w14:paraId="3584A195" w14:textId="77777777" w:rsidR="00C85536" w:rsidRDefault="00F532CA">
      <w:pPr>
        <w:pStyle w:val="ListParagraph"/>
        <w:numPr>
          <w:ilvl w:val="0"/>
          <w:numId w:val="2"/>
        </w:numPr>
        <w:spacing w:after="35" w:line="245" w:lineRule="auto"/>
      </w:pPr>
      <w:r>
        <w:t>Financial Leakage Mitigation: duplicate/split-claim leakage prevented before disbursement, not detected after.</w:t>
      </w:r>
    </w:p>
    <w:p w14:paraId="3584A196" w14:textId="77777777" w:rsidR="00C85536" w:rsidRDefault="00F532CA">
      <w:pPr>
        <w:pStyle w:val="Heading1"/>
        <w:spacing w:before="150" w:after="60"/>
      </w:pPr>
      <w:r>
        <w:rPr>
          <w:b/>
          <w:bCs/>
          <w:color w:val="1F3B57"/>
          <w:sz w:val="22"/>
          <w:szCs w:val="22"/>
        </w:rPr>
        <w:t>9. Phased Rollout / MVP Scope</w:t>
      </w:r>
    </w:p>
    <w:p>
      <w:pPr>
        <w:pStyle w:val="ListParagraph"/>
        <w:numPr>
          <w:ilvl w:val="0"/>
          <w:numId w:val="2"/>
        </w:numPr>
        <w:spacing w:after="35" w:line="245" w:lineRule="auto"/>
      </w:pPr>
      <w:r>
        <w:rPr>
          <w:b/>
          <w:bCs/>
        </w:rPr>
        <w:t xml:space="preserve">Phase 1 (MVP):</w:t>
      </w:r>
      <w:r>
        <w:t xml:space="preserve"> Pillar 1 (Multimodal Ingestion Layer) plus a focused slice of Pillar 2 (Agentic Policy RAG Layer) and Pillar 3 (Predictive Filter Engine), for a single site and one claim type (reimbursement of printed hospital bills): read the bills, check them against rate and entitlement rules with the clause cited, flag duplicate and split claims, and a human reviewer approves every claim. Validate extraction accuracy before any auto-approval goes live.</w:t>
      </w:r>
    </w:p>
    <w:p>
      <w:pPr>
        <w:pStyle w:val="ListParagraph"/>
        <w:numPr>
          <w:ilvl w:val="0"/>
          <w:numId w:val="2"/>
        </w:numPr>
        <w:spacing w:after="35" w:line="245" w:lineRule="auto"/>
      </w:pPr>
      <w:r>
        <w:rPr>
          <w:b/>
          <w:bCs/>
        </w:rPr>
        <w:t xml:space="preserve">Phase 2:</w:t>
      </w:r>
      <w:r>
        <w:t xml:space="preserve"> Extend Pillar 2 (Agentic Policy RAG Layer) to real-time emergency authorization; retain human sign-off during validation, then progressively shorten it.</w:t>
      </w:r>
    </w:p>
    <w:p>
      <w:pPr>
        <w:pStyle w:val="ListParagraph"/>
        <w:numPr>
          <w:ilvl w:val="0"/>
          <w:numId w:val="2"/>
        </w:numPr>
        <w:spacing w:after="35" w:line="245" w:lineRule="auto"/>
      </w:pPr>
      <w:r>
        <w:rPr>
          <w:b/>
          <w:bCs/>
        </w:rPr>
        <w:t xml:space="preserve">Phase 3:</w:t>
      </w:r>
      <w:r>
        <w:t xml:space="preserve"> Extend Pillar 3 (Predictive Filter Engine) to full predictive risk scoring; enable straight-through auto-approval for low-risk claims, human review reserved for flagged exceptions.</w:t>
      </w:r>
    </w:p>
    <w:p>
      <w:pPr>
        <w:spacing w:before="70" w:after="25"/>
      </w:pPr>
      <w:r>
        <w:rPr>
          <w:b/>
          <w:bCs/>
          <w:color w:val="2E6F95"/>
          <w:sz w:val="19"/>
          <w:szCs w:val="19"/>
        </w:rPr>
        <w:t>MVP at a glance</w:t>
      </w:r>
    </w:p>
    <w:p>
      <w:pPr>
        <w:pStyle w:val="ListParagraph"/>
        <w:numPr>
          <w:ilvl w:val="0"/>
          <w:numId w:val="2"/>
        </w:numPr>
        <w:spacing w:after="35" w:line="245" w:lineRule="auto"/>
      </w:pPr>
      <w:r>
        <w:rPr>
          <w:b/>
          <w:bCs/>
        </w:rPr>
        <w:t xml:space="preserve">Read (Pillar 1, Multimodal Ingestion):</w:t>
      </w:r>
      <w:r>
        <w:t xml:space="preserve"> bills are uploaded and read by a vision-language model into structured data.</w:t>
      </w:r>
    </w:p>
    <w:p>
      <w:pPr>
        <w:pStyle w:val="ListParagraph"/>
        <w:numPr>
          <w:ilvl w:val="0"/>
          <w:numId w:val="2"/>
        </w:numPr>
        <w:spacing w:after="35" w:line="245" w:lineRule="auto"/>
      </w:pPr>
      <w:r>
        <w:rPr>
          <w:b/>
          <w:bCs/>
        </w:rPr>
        <w:t xml:space="preserve">Check (Pillar 2, Agentic Policy RAG):</w:t>
      </w:r>
      <w:r>
        <w:t xml:space="preserve"> items are checked against rate schedules and entitlement rules, with the clause cited.</w:t>
      </w:r>
    </w:p>
    <w:p>
      <w:pPr>
        <w:pStyle w:val="ListParagraph"/>
        <w:numPr>
          <w:ilvl w:val="0"/>
          <w:numId w:val="2"/>
        </w:numPr>
        <w:spacing w:after="35" w:line="245" w:lineRule="auto"/>
      </w:pPr>
      <w:r>
        <w:rPr>
          <w:b/>
          <w:bCs/>
        </w:rPr>
        <w:t xml:space="preserve">Flag (Pillar 3, Predictive Filter Engine):</w:t>
      </w:r>
      <w:r>
        <w:t xml:space="preserve"> duplicate and split claims are detected by an ML model (the first ML feature).</w:t>
      </w:r>
    </w:p>
    <w:p>
      <w:pPr>
        <w:pStyle w:val="ListParagraph"/>
        <w:numPr>
          <w:ilvl w:val="0"/>
          <w:numId w:val="2"/>
        </w:numPr>
        <w:spacing w:after="35" w:line="245" w:lineRule="auto"/>
      </w:pPr>
      <w:r>
        <w:rPr>
          <w:b/>
          <w:bCs/>
        </w:rPr>
        <w:t xml:space="preserve">Review:</w:t>
      </w:r>
      <w:r>
        <w:t xml:space="preserve"> a dashboard shows the summary and flags, and the reviewer approves or rejects.</w:t>
      </w:r>
    </w:p>
    <w:p>
      <w:pPr>
        <w:spacing w:before="70" w:after="25"/>
      </w:pPr>
      <w:r>
        <w:rPr>
          <w:b/>
          <w:bCs/>
          <w:color w:val="2E6F95"/>
          <w:sz w:val="19"/>
          <w:szCs w:val="19"/>
        </w:rPr>
        <w:t>Why this MVP is achievable</w:t>
      </w:r>
    </w:p>
    <w:p>
      <w:pPr>
        <w:pStyle w:val="ListParagraph"/>
        <w:numPr>
          <w:ilvl w:val="0"/>
          <w:numId w:val="2"/>
        </w:numPr>
        <w:spacing w:after="35" w:line="245" w:lineRule="auto"/>
      </w:pPr>
      <w:r>
        <w:rPr>
          <w:b/>
          <w:bCs/>
        </w:rPr>
        <w:t xml:space="preserve">Off-the-shelf AI:</w:t>
      </w:r>
      <w:r>
        <w:t xml:space="preserve"> an existing vision-language model is used through an API, so no model training is needed to read bills.</w:t>
      </w:r>
    </w:p>
    <w:p>
      <w:pPr>
        <w:pStyle w:val="ListParagraph"/>
        <w:numPr>
          <w:ilvl w:val="0"/>
          <w:numId w:val="2"/>
        </w:numPr>
        <w:spacing w:after="35" w:line="245" w:lineRule="auto"/>
      </w:pPr>
      <w:r>
        <w:rPr>
          <w:b/>
          <w:bCs/>
        </w:rPr>
        <w:t xml:space="preserve">Synthetic data:</w:t>
      </w:r>
      <w:r>
        <w:t xml:space="preserve"> sample bills and claims are generated, with public rate lists used where permitted (availability to be confirmed).</w:t>
      </w:r>
    </w:p>
    <w:p>
      <w:pPr>
        <w:pStyle w:val="ListParagraph"/>
        <w:numPr>
          <w:ilvl w:val="0"/>
          <w:numId w:val="2"/>
        </w:numPr>
        <w:spacing w:after="35" w:line="245" w:lineRule="auto"/>
      </w:pPr>
      <w:r>
        <w:rPr>
          <w:b/>
          <w:bCs/>
        </w:rPr>
        <w:t xml:space="preserve">Narrow scope:</w:t>
      </w:r>
      <w:r>
        <w:t xml:space="preserve"> one claim type, printed bills only, one site.</w:t>
      </w:r>
    </w:p>
    <w:p>
      <w:pPr>
        <w:pStyle w:val="ListParagraph"/>
        <w:numPr>
          <w:ilvl w:val="0"/>
          <w:numId w:val="2"/>
        </w:numPr>
        <w:spacing w:after="35" w:line="245" w:lineRule="auto"/>
      </w:pPr>
      <w:r>
        <w:rPr>
          <w:b/>
          <w:bCs/>
        </w:rPr>
        <w:t xml:space="preserve">Human in the loop:</w:t>
      </w:r>
      <w:r>
        <w:t xml:space="preserve"> a human approves every claim, so the demo does not depend on autonomous decisions.</w:t>
      </w:r>
    </w:p>
    <w:p w14:paraId="3584A19A" w14:textId="77777777" w:rsidR="00C85536" w:rsidRDefault="00F532CA">
      <w:pPr>
        <w:spacing w:before="70" w:after="70" w:line="250" w:lineRule="auto"/>
      </w:pPr>
      <w:r>
        <w:t xml:space="preserve">In scope: every claim from a CMO-issued referral to an empanelled hospital — reimbursement or direct-billed — verified against company/CGHS-aligned rate schedules. Out of scope: routine on-site dispensary treatment not requiring referral; vendor-specific tooling decisions.</w:t>
      </w:r>
    </w:p>
    <w:p>
      <w:pPr>
        <w:spacing w:after="70" w:line="250" w:lineRule="auto"/>
      </w:pPr>
      <w:r>
        <w:rPr>
          <w:b/>
          <w:bCs/>
        </w:rPr>
        <w:t xml:space="preserve">MVP excludes:</w:t>
      </w:r>
      <w:r>
        <w:t xml:space="preserve"> handwriting, emergency authorization, auto-approval and payment integration (Phases 2–3 and beyond).</w:t>
      </w:r>
    </w:p>
    <w:p w14:paraId="3584A19B" w14:textId="77777777" w:rsidR="00C85536" w:rsidRDefault="00F532CA">
      <w:pPr>
        <w:pStyle w:val="Heading1"/>
        <w:spacing w:before="150" w:after="60"/>
      </w:pPr>
      <w:r>
        <w:rPr>
          <w:b/>
          <w:bCs/>
          <w:color w:val="1F3B57"/>
          <w:sz w:val="22"/>
          <w:szCs w:val="22"/>
        </w:rPr>
        <w:t>10. Why This Advances the State of the Art</w:t>
      </w:r>
    </w:p>
    <w:p w14:paraId="3584A19C" w14:textId="77777777" w:rsidR="00C85536" w:rsidRDefault="00F532CA">
      <w:pPr>
        <w:spacing w:after="70" w:line="250" w:lineRule="auto"/>
      </w:pPr>
      <w:r>
        <w:t>Most PSU digitization efforts stop at scanning documents into a shared drive. This design reads and understands documents natively, reasons over policy the way a trained auditor would, and improves continuously from its own audit outcomes — while staying explainable and human-governed enough to satisfy PSU compliance requirements, at Coal India's documented national scale.</w:t>
      </w:r>
    </w:p>
    <w:p w14:paraId="3584A19D" w14:textId="77777777" w:rsidR="00C85536" w:rsidRDefault="00F532CA">
      <w:pPr>
        <w:pStyle w:val="Heading1"/>
        <w:spacing w:before="150" w:after="60"/>
      </w:pPr>
      <w:r>
        <w:rPr>
          <w:b/>
          <w:bCs/>
          <w:color w:val="1F3B57"/>
          <w:sz w:val="22"/>
          <w:szCs w:val="22"/>
        </w:rPr>
        <w:t>11. Pilot Deployment &amp; Scale-Up Potential</w:t>
      </w:r>
    </w:p>
    <w:p w14:paraId="3584A19E" w14:textId="77777777" w:rsidR="00C85536" w:rsidRDefault="00F532CA">
      <w:pPr>
        <w:spacing w:before="70" w:after="25"/>
      </w:pPr>
      <w:r>
        <w:rPr>
          <w:b/>
          <w:bCs/>
          <w:color w:val="2E6F95"/>
          <w:sz w:val="19"/>
          <w:szCs w:val="19"/>
        </w:rPr>
        <w:t>Coal India as first customer (pilot)</w:t>
      </w:r>
    </w:p>
    <w:p w14:paraId="3584A19F" w14:textId="77777777" w:rsidR="00C85536" w:rsidRDefault="00F532CA">
      <w:pPr>
        <w:spacing w:after="70" w:line="250" w:lineRule="auto"/>
      </w:pPr>
      <w:r>
        <w:rPr>
          <w:b/>
          <w:bCs/>
          <w:highlight w:val="yellow"/>
        </w:rPr>
        <w:t xml:space="preserve">Coal India is proposed as the pilot deployment given its reimbursement-heavy payment structure, field-reported 3–4 month settlement cycle, and national scale</w:t>
      </w:r>
      <w:r>
        <w:rPr>
          <w:highlight w:val="yellow"/>
        </w:rPr>
        <w:t>. Its seven subsidiaries (BCCL, CCL, ECL, MCL, NCL, SECL, WCL) are governed by common CIL-level Medical Attendance Rules, so a successful single-site pilot has a ready-made internal expansion path across the group before any external sale is needed.</w:t>
      </w:r>
    </w:p>
    <w:p w14:paraId="3584A1A0" w14:textId="77777777" w:rsidR="00C85536" w:rsidRDefault="00F532CA">
      <w:pPr>
        <w:spacing w:before="70" w:after="25"/>
      </w:pPr>
      <w:r>
        <w:rPr>
          <w:b/>
          <w:bCs/>
          <w:color w:val="2E6F95"/>
          <w:sz w:val="19"/>
          <w:szCs w:val="19"/>
        </w:rPr>
        <w:t>Scale-up beyond Coal India</w:t>
      </w:r>
    </w:p>
    <w:p w14:paraId="3584A1A1" w14:textId="77777777" w:rsidR="00C85536" w:rsidRDefault="00F532CA">
      <w:pPr>
        <w:spacing w:after="70" w:line="250" w:lineRule="auto"/>
      </w:pPr>
      <w:r>
        <w:t xml:space="preserve">The underlying pattern — remote-site dispensary, CMO referral, empanelled-hospital treatment, cashless-or-reimbursement claim — is common to several other large Indian PSUs, not unique to coal mining:</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5220"/>
        <w:gridCol w:w="2700"/>
      </w:tblGrid>
      <w:tr w:rsidR="00C85536" w14:paraId="3584A1A5" w14:textId="77777777">
        <w:trPr>
          <w:cantSplit/>
          <w:tblHeader/>
        </w:trPr>
        <w:tc>
          <w:tcPr>
            <w:tcW w:w="1500" w:type="dxa"/>
            <w:shd w:val="clear" w:color="auto" w:fill="1F3B57"/>
            <w:tcMar>
              <w:top w:w="55" w:type="dxa"/>
              <w:left w:w="80" w:type="dxa"/>
              <w:bottom w:w="55" w:type="dxa"/>
              <w:right w:w="80" w:type="dxa"/>
            </w:tcMar>
          </w:tcPr>
          <w:p w14:paraId="3584A1A2" w14:textId="77777777" w:rsidR="00C85536" w:rsidRDefault="00F532CA">
            <w:r>
              <w:rPr>
                <w:b/>
                <w:bCs/>
                <w:color w:val="FFFFFF"/>
                <w:sz w:val="16"/>
                <w:szCs w:val="16"/>
              </w:rPr>
              <w:t>PSU / Sector</w:t>
            </w:r>
          </w:p>
        </w:tc>
        <w:tc>
          <w:tcPr>
            <w:tcW w:w="5220" w:type="dxa"/>
            <w:shd w:val="clear" w:color="auto" w:fill="1F3B57"/>
            <w:tcMar>
              <w:top w:w="55" w:type="dxa"/>
              <w:left w:w="80" w:type="dxa"/>
              <w:bottom w:w="55" w:type="dxa"/>
              <w:right w:w="80" w:type="dxa"/>
            </w:tcMar>
          </w:tcPr>
          <w:p w14:paraId="3584A1A3" w14:textId="77777777" w:rsidR="00C85536" w:rsidRDefault="00F532CA">
            <w:r>
              <w:rPr>
                <w:b/>
                <w:bCs/>
                <w:color w:val="FFFFFF"/>
                <w:sz w:val="16"/>
                <w:szCs w:val="16"/>
              </w:rPr>
              <w:t>Why the Same Model Applies</w:t>
            </w:r>
          </w:p>
        </w:tc>
        <w:tc>
          <w:tcPr>
            <w:tcW w:w="2700" w:type="dxa"/>
            <w:shd w:val="clear" w:color="auto" w:fill="1F3B57"/>
            <w:tcMar>
              <w:top w:w="55" w:type="dxa"/>
              <w:left w:w="80" w:type="dxa"/>
              <w:bottom w:w="55" w:type="dxa"/>
              <w:right w:w="80" w:type="dxa"/>
            </w:tcMar>
          </w:tcPr>
          <w:p w14:paraId="3584A1A4" w14:textId="77777777" w:rsidR="00C85536" w:rsidRDefault="00F532CA">
            <w:r>
              <w:rPr>
                <w:b/>
                <w:bCs/>
                <w:color w:val="FFFFFF"/>
                <w:sz w:val="16"/>
                <w:szCs w:val="16"/>
              </w:rPr>
              <w:t>Scale Indicator</w:t>
            </w:r>
          </w:p>
        </w:tc>
      </w:tr>
      <w:tr w:rsidR="00C85536" w14:paraId="3584A1A9" w14:textId="77777777">
        <w:trPr>
          <w:cantSplit/>
        </w:trPr>
        <w:tc>
          <w:tcPr>
            <w:tcW w:w="1500" w:type="dxa"/>
            <w:shd w:val="clear" w:color="auto" w:fill="F2F2F2"/>
            <w:tcMar>
              <w:top w:w="55" w:type="dxa"/>
              <w:left w:w="80" w:type="dxa"/>
              <w:bottom w:w="55" w:type="dxa"/>
              <w:right w:w="80" w:type="dxa"/>
            </w:tcMar>
          </w:tcPr>
          <w:p w14:paraId="3584A1A6" w14:textId="77777777" w:rsidR="00C85536" w:rsidRDefault="00F532CA">
            <w:r>
              <w:rPr>
                <w:sz w:val="16"/>
                <w:szCs w:val="16"/>
              </w:rPr>
              <w:t>Indian Railways</w:t>
            </w:r>
          </w:p>
        </w:tc>
        <w:tc>
          <w:tcPr>
            <w:tcW w:w="5220" w:type="dxa"/>
            <w:tcMar>
              <w:top w:w="55" w:type="dxa"/>
              <w:left w:w="80" w:type="dxa"/>
              <w:bottom w:w="55" w:type="dxa"/>
              <w:right w:w="80" w:type="dxa"/>
            </w:tcMar>
          </w:tcPr>
          <w:p w14:paraId="3584A1A7" w14:textId="77777777" w:rsidR="00C85536" w:rsidRDefault="00F532CA">
            <w:r>
              <w:rPr>
                <w:sz w:val="16"/>
                <w:szCs w:val="16"/>
              </w:rPr>
              <w:t xml:space="preserve">Railway hospitals and health units refer patients to empanelled private hospitals; cashless and reimbursement paths both exist.</w:t>
            </w:r>
          </w:p>
        </w:tc>
        <w:tc>
          <w:tcPr>
            <w:tcW w:w="2700" w:type="dxa"/>
            <w:tcMar>
              <w:top w:w="55" w:type="dxa"/>
              <w:left w:w="80" w:type="dxa"/>
              <w:bottom w:w="55" w:type="dxa"/>
              <w:right w:w="80" w:type="dxa"/>
            </w:tcMar>
          </w:tcPr>
          <w:p w14:paraId="3584A1A8" w14:textId="77777777" w:rsidR="00C85536" w:rsidRDefault="00F532CA">
            <w:r>
              <w:rPr>
                <w:sz w:val="16"/>
                <w:szCs w:val="16"/>
              </w:rPr>
              <w:t xml:space="preserve">~12–13 lakh employees; 128 railway hospitals and 582 health units.</w:t>
            </w:r>
          </w:p>
        </w:tc>
      </w:tr>
      <w:tr w:rsidR="00C85536" w14:paraId="3584A1AD" w14:textId="77777777">
        <w:trPr>
          <w:cantSplit/>
        </w:trPr>
        <w:tc>
          <w:tcPr>
            <w:tcW w:w="1500" w:type="dxa"/>
            <w:shd w:val="clear" w:color="auto" w:fill="F2F2F2"/>
            <w:tcMar>
              <w:top w:w="55" w:type="dxa"/>
              <w:left w:w="80" w:type="dxa"/>
              <w:bottom w:w="55" w:type="dxa"/>
              <w:right w:w="80" w:type="dxa"/>
            </w:tcMar>
          </w:tcPr>
          <w:p w14:paraId="3584A1AA" w14:textId="77777777" w:rsidR="00C85536" w:rsidRDefault="00F532CA">
            <w:r>
              <w:rPr>
                <w:sz w:val="16"/>
                <w:szCs w:val="16"/>
              </w:rPr>
              <w:t>NTPC</w:t>
            </w:r>
          </w:p>
        </w:tc>
        <w:tc>
          <w:tcPr>
            <w:tcW w:w="5220" w:type="dxa"/>
            <w:tcMar>
              <w:top w:w="55" w:type="dxa"/>
              <w:left w:w="80" w:type="dxa"/>
              <w:bottom w:w="55" w:type="dxa"/>
              <w:right w:w="80" w:type="dxa"/>
            </w:tcMar>
          </w:tcPr>
          <w:p w14:paraId="3584A1AB" w14:textId="77777777" w:rsidR="00C85536" w:rsidRDefault="00F532CA">
            <w:r>
              <w:rPr>
                <w:sz w:val="16"/>
                <w:szCs w:val="16"/>
              </w:rPr>
              <w:t xml:space="preserve">Own hospitals at power-plant townships; specialist care referred to empanelled hospitals via the Medical Smart Card.</w:t>
            </w:r>
          </w:p>
        </w:tc>
        <w:tc>
          <w:tcPr>
            <w:tcW w:w="2700" w:type="dxa"/>
            <w:tcMar>
              <w:top w:w="55" w:type="dxa"/>
              <w:left w:w="80" w:type="dxa"/>
              <w:bottom w:w="55" w:type="dxa"/>
              <w:right w:w="80" w:type="dxa"/>
            </w:tcMar>
          </w:tcPr>
          <w:p w14:paraId="3584A1AC" w14:textId="77777777" w:rsidR="00C85536" w:rsidRDefault="00F532CA">
            <w:r>
              <w:rPr>
                <w:sz w:val="16"/>
                <w:szCs w:val="16"/>
              </w:rPr>
              <w:t xml:space="preserve">18,816 employees (FY24-25); 250+ empanelled hospitals.</w:t>
            </w:r>
          </w:p>
        </w:tc>
      </w:tr>
      <w:tr w:rsidR="00C85536" w14:paraId="3584A1B1" w14:textId="77777777">
        <w:trPr>
          <w:cantSplit/>
        </w:trPr>
        <w:tc>
          <w:tcPr>
            <w:tcW w:w="1500" w:type="dxa"/>
            <w:shd w:val="clear" w:color="auto" w:fill="F2F2F2"/>
            <w:tcMar>
              <w:top w:w="55" w:type="dxa"/>
              <w:left w:w="80" w:type="dxa"/>
              <w:bottom w:w="55" w:type="dxa"/>
              <w:right w:w="80" w:type="dxa"/>
            </w:tcMar>
          </w:tcPr>
          <w:p w14:paraId="3584A1AE" w14:textId="77777777" w:rsidR="00C85536" w:rsidRDefault="00F532CA">
            <w:r>
              <w:rPr>
                <w:sz w:val="16"/>
                <w:szCs w:val="16"/>
              </w:rPr>
              <w:t>ONGC</w:t>
            </w:r>
          </w:p>
        </w:tc>
        <w:tc>
          <w:tcPr>
            <w:tcW w:w="5220" w:type="dxa"/>
            <w:tcMar>
              <w:top w:w="55" w:type="dxa"/>
              <w:left w:w="80" w:type="dxa"/>
              <w:bottom w:w="55" w:type="dxa"/>
              <w:right w:w="80" w:type="dxa"/>
            </w:tcMar>
          </w:tcPr>
          <w:p w14:paraId="3584A1AF" w14:textId="77777777" w:rsidR="00C85536" w:rsidRDefault="00F532CA">
            <w:r>
              <w:rPr>
                <w:sz w:val="16"/>
                <w:szCs w:val="16"/>
              </w:rPr>
              <w:t xml:space="preserve">Own dispensaries/hospitals plus empanelled hospitals; referral for specialist care; cashless treatment and reimbursement of out-of-pocket expenses both in use.</w:t>
            </w:r>
          </w:p>
        </w:tc>
        <w:tc>
          <w:tcPr>
            <w:tcW w:w="2700" w:type="dxa"/>
            <w:tcMar>
              <w:top w:w="55" w:type="dxa"/>
              <w:left w:w="80" w:type="dxa"/>
              <w:bottom w:w="55" w:type="dxa"/>
              <w:right w:w="80" w:type="dxa"/>
            </w:tcMar>
          </w:tcPr>
          <w:p w14:paraId="3584A1B0" w14:textId="77777777" w:rsidR="00C85536" w:rsidRDefault="00F532CA">
            <w:r>
              <w:rPr>
                <w:sz w:val="16"/>
                <w:szCs w:val="16"/>
              </w:rPr>
              <w:t>Remote sites across Assam, Gujarat, Mumbai High.</w:t>
            </w:r>
          </w:p>
        </w:tc>
      </w:tr>
      <w:tr w:rsidR="00C85536" w14:paraId="3584A1B5" w14:textId="77777777">
        <w:trPr>
          <w:cantSplit/>
        </w:trPr>
        <w:tc>
          <w:tcPr>
            <w:tcW w:w="1500" w:type="dxa"/>
            <w:shd w:val="clear" w:color="auto" w:fill="F2F2F2"/>
            <w:tcMar>
              <w:top w:w="55" w:type="dxa"/>
              <w:left w:w="80" w:type="dxa"/>
              <w:bottom w:w="55" w:type="dxa"/>
              <w:right w:w="80" w:type="dxa"/>
            </w:tcMar>
          </w:tcPr>
          <w:p w14:paraId="3584A1B2" w14:textId="77777777" w:rsidR="00C85536" w:rsidRDefault="00F532CA">
            <w:r>
              <w:rPr>
                <w:sz w:val="16"/>
                <w:szCs w:val="16"/>
              </w:rPr>
              <w:t>NLC India</w:t>
            </w:r>
          </w:p>
        </w:tc>
        <w:tc>
          <w:tcPr>
            <w:tcW w:w="5220" w:type="dxa"/>
            <w:tcMar>
              <w:top w:w="55" w:type="dxa"/>
              <w:left w:w="80" w:type="dxa"/>
              <w:bottom w:w="55" w:type="dxa"/>
              <w:right w:w="80" w:type="dxa"/>
            </w:tcMar>
          </w:tcPr>
          <w:p w14:paraId="3584A1B3" w14:textId="77777777" w:rsidR="00C85536" w:rsidRDefault="00F532CA">
            <w:r>
              <w:rPr>
                <w:sz w:val="16"/>
                <w:szCs w:val="16"/>
              </w:rPr>
              <w:t xml:space="preserve">Also under the Ministry of Coal (lignite/coal mining and power); medical-benefit structure to be confirmed during discovery.</w:t>
            </w:r>
          </w:p>
        </w:tc>
        <w:tc>
          <w:tcPr>
            <w:tcW w:w="2700" w:type="dxa"/>
            <w:tcMar>
              <w:top w:w="55" w:type="dxa"/>
              <w:left w:w="80" w:type="dxa"/>
              <w:bottom w:w="55" w:type="dxa"/>
              <w:right w:w="80" w:type="dxa"/>
            </w:tcMar>
          </w:tcPr>
          <w:p w14:paraId="3584A1B4" w14:textId="77777777" w:rsidR="00C85536" w:rsidRDefault="00F532CA">
            <w:r>
              <w:rPr>
                <w:sz w:val="16"/>
                <w:szCs w:val="16"/>
              </w:rPr>
              <w:t>Natural adjacent-sector target after coal subsidiaries.</w:t>
            </w:r>
          </w:p>
        </w:tc>
      </w:tr>
    </w:tbl>
    <w:p w14:paraId="3584A1B6" w14:textId="77777777" w:rsidR="00C85536" w:rsidRDefault="00C85536">
      <w:pPr>
        <w:spacing w:after="60"/>
      </w:pPr>
    </w:p>
    <w:p w14:paraId="3584A1B7" w14:textId="77777777" w:rsidR="00C85536" w:rsidRDefault="00F532CA">
      <w:pPr>
        <w:spacing w:before="70" w:after="25"/>
      </w:pPr>
      <w:r>
        <w:rPr>
          <w:b/>
          <w:bCs/>
          <w:color w:val="2E6F95"/>
          <w:sz w:val="19"/>
          <w:szCs w:val="19"/>
        </w:rPr>
        <w:t>Beyond PSUs, into industry</w:t>
      </w:r>
    </w:p>
    <w:p w14:paraId="3584A1B8" w14:textId="77777777" w:rsidR="00C85536" w:rsidRDefault="00F532CA">
      <w:pPr>
        <w:spacing w:after="70" w:line="250" w:lineRule="auto"/>
      </w:pPr>
      <w:r>
        <w:t>The same structural pattern — a remote or dispersed workforce, an on-site medical function too limited for specialist care, and a claims trail to an external network — is likely to recur in mining &amp; metals (Vedanta, Hindustan Zinc, NMDC, Hindustan Copper), oil &amp; gas exploration (Oil India), power generation (township-based medical units), plantations (tea/coffee/rubber estates), and ports, shipping &amp; large remote-site EPC contractors. In all these cases, the three-pillar architecture is domain-agnostic — only the policy corpus and rate schedules need to be swapped per organization, making Coal India a proof point rather than the ceiling for this platform.</w:t>
      </w:r>
    </w:p>
    <w:p w14:paraId="3584B002" w14:textId="3584B002" w:rsidR="00C85536" w:rsidRDefault="00F532CA">
      <w:pPr>
        <w:spacing w:before="70" w:after="25"/>
      </w:pPr>
      <w:r>
        <w:rPr>
          <w:b/>
          <w:bCs/>
          <w:color w:val="2E6F95"/>
          <w:sz w:val="19"/>
          <w:szCs w:val="19"/>
        </w:rPr>
        <w:t>Applicability to TPA-driven industry claims</w:t>
      </w:r>
    </w:p>
    <w:p w14:paraId="3584B003" w14:textId="3584B003" w:rsidR="00C85536" w:rsidRDefault="00F532CA">
      <w:pPr>
        <w:spacing w:after="70" w:line="250" w:lineRule="auto"/>
      </w:pPr>
      <w:r>
        <w:t xml:space="preserve">This solution can also serve TPAs in the corporate/industry sector. When an employee needs emergency treatment outside the network, they pay first, then submit bills and supporting documents to the organization's TPA, which verifies eligibility and documents before processing reimbursement.</w:t>
      </w:r>
    </w:p>
    <w:p w14:paraId="3584B004" w14:textId="3584B004" w:rsidR="00C85536" w:rsidRDefault="00F532CA">
      <w:pPr>
        <w:spacing w:after="70" w:line="250" w:lineRule="auto"/>
      </w:pPr>
      <w:r>
        <w:t xml:space="preserve">This model is used by TPAs such as Medi Assist and Vidal Health, which administer employee health benefits and reimbursement claims for organizations — Medi Assist, for instance, offers online claim submission and document verification through its member/corporate portal.</w:t>
      </w:r>
    </w:p>
    <w:p w14:paraId="3584B005" w14:textId="3584B005" w:rsidR="00C85536" w:rsidRDefault="00F532CA">
      <w:pPr>
        <w:spacing w:after="70" w:line="250" w:lineRule="auto"/>
      </w:pPr>
      <w:r>
        <w:t xml:space="preserve">Coal India's own cycle follows the same pay-first-then-verify logic but with more hand-offs — Site Accounts/Welfare Office, then Area/Regional Finance, then Area GM for exceptions — consistent with its field-reported </w:t>
      </w:r>
      <w:r>
        <w:rPr>
          <w:b/>
          <w:bCs/>
        </w:rPr>
        <w:t>3–4 month</w:t>
      </w:r>
      <w:r>
        <w:t xml:space="preserve"> settlement time. A TPA's single-administrator, digital-intake model removes several of these hand-offs; the same three-pillar AI architecture (Sections 5–6) could similarly compress that shorter TPA cycle toward the same sub-48-hour target set for Coal India.</w:t>
      </w:r>
    </w:p>
    <w:p>
      <w:pPr>
        <w:keepNext/>
        <w:spacing w:before="70" w:after="25"/>
      </w:pPr>
      <w:r>
        <w:rPr>
          <w:b/>
          <w:bCs/>
          <w:color w:val="2E6F95"/>
          <w:sz w:val="19"/>
          <w:szCs w:val="19"/>
        </w:rPr>
        <w:t>Corporate travel &amp; expense claims</w:t>
      </w:r>
    </w:p>
    <w:p>
      <w:pPr>
        <w:spacing w:after="160" w:line="250" w:lineRule="auto"/>
      </w:pPr>
      <w:r>
        <w:t xml:space="preserve">The same architecture applies where a finance reviewer checks flight tickets, hotel folios, and restaurant bills against company travel policy. The platform extracts the documents, checks them against grade-wise limits and policy rules, and flags duplicates or mismatches, so low-risk claims are approved automatically and reviewers see only exceptions.</w:t>
      </w:r>
    </w:p>
    <w:p>
      <w:pPr>
        <w:keepNext/>
        <w:spacing w:before="200" w:after="60"/>
      </w:pPr>
      <w:r>
        <w:rPr>
          <w:i/>
          <w:iCs/>
          <w:color w:val="555555"/>
          <w:sz w:val="16"/>
          <w:szCs w:val="16"/>
        </w:rPr>
        <w:t>Figure: Where else this use case can be applied — phased expansion from the Coal India pilot to sister PSUs, then industry and TPAs.</w:t>
      </w:r>
    </w:p>
    <w:p>
      <w:pPr>
        <w:spacing w:after="70"/>
        <w:jc w:val="center"/>
      </w:pPr>
      <w:r>
        <w:rPr>
          <w:noProof/>
        </w:rPr>
        <w:drawing>
          <wp:inline distT="0" distB="0" distL="0" distR="0">
            <wp:extent cx="6500000" cy="3412868"/>
            <wp:effectExtent l="0" t="0" r="0" b="0"/>
            <wp:docPr id="2" name="Picture 2" descr="Phased scale-up map: Coal India pilot, sister PSUs (Indian Railways, NTPC, ONGC, NLC India), industry and TP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6500000" cy="3412868"/>
                    </a:xfrm>
                    <a:prstGeom prst="rect">
                      <a:avLst/>
                    </a:prstGeom>
                  </pic:spPr>
                </pic:pic>
              </a:graphicData>
            </a:graphic>
          </wp:inline>
        </w:drawing>
      </w:r>
    </w:p>
    <w:p w14:paraId="3584A1B9" w14:textId="77777777" w:rsidR="00C85536" w:rsidRDefault="00F532CA">
      <w:pPr>
        <w:pStyle w:val="Heading1"/>
        <w:pageBreakBefore/>
        <w:spacing w:before="150" w:after="60"/>
      </w:pPr>
      <w:r>
        <w:rPr>
          <w:b/>
          <w:bCs/>
          <w:color w:val="1F3B57"/>
          <w:sz w:val="22"/>
          <w:szCs w:val="22"/>
        </w:rPr>
        <w:t>Appendix: End-to-End Claims Process Flow (Current State)</w:t>
      </w:r>
    </w:p>
    <w:p w14:paraId="3584A1BA" w14:textId="77777777" w:rsidR="00C85536" w:rsidRDefault="00F532CA">
      <w:pPr>
        <w:spacing w:after="70" w:line="250" w:lineRule="auto"/>
      </w:pPr>
      <w:r>
        <w:rPr>
          <w:i/>
          <w:iCs/>
          <w:color w:val="555555"/>
          <w:sz w:val="16"/>
          <w:szCs w:val="16"/>
        </w:rPr>
        <w:t>Illustrative flow from on-site referral through to final settlement, showing both the cashless (direct-billed) path and the reimbursement path where the employee pays first. Red-outlined steps are the manual bottlenecks this use case targets.</w:t>
      </w:r>
    </w:p>
    <w:p w14:paraId="3584A1BB" w14:textId="77777777" w:rsidR="00C85536" w:rsidRDefault="00F532CA">
      <w:pPr>
        <w:jc w:val="center"/>
      </w:pPr>
      <w:r>
        <w:rPr>
          <w:noProof/>
        </w:rPr>
        <w:lastRenderedPageBreak/>
        <w:drawing>
          <wp:inline distT="0" distB="0" distL="0" distR="0" wp14:anchorId="3584A1BC" wp14:editId="3584A1BD">
            <wp:extent cx="6300000" cy="55291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300000" cy="5529135"/>
                    </a:xfrm>
                    <a:prstGeom prst="rect">
                      <a:avLst/>
                    </a:prstGeom>
                  </pic:spPr>
                </pic:pic>
              </a:graphicData>
            </a:graphic>
          </wp:inline>
        </w:drawing>
      </w:r>
    </w:p>
    <w:sectPr w:rsidR="00C85536">
      <w:footerReference w:type="default" r:id="rId8"/>
      <w:pgSz w:w="12240" w:h="15840"/>
      <w:pgMar w:top="420" w:right="860" w:bottom="460" w:left="8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9D0736" w14:textId="77777777" w:rsidR="00F532CA" w:rsidRDefault="00F532CA">
      <w:r>
        <w:separator/>
      </w:r>
    </w:p>
  </w:endnote>
  <w:endnote w:type="continuationSeparator" w:id="0">
    <w:p w14:paraId="23D239C4" w14:textId="77777777" w:rsidR="00F532CA" w:rsidRDefault="00F532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4A1BE" w14:textId="77777777" w:rsidR="00C85536" w:rsidRDefault="00F532CA">
    <w:pPr>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999338" w14:textId="77777777" w:rsidR="00F532CA" w:rsidRDefault="00F532CA">
      <w:r>
        <w:separator/>
      </w:r>
    </w:p>
  </w:footnote>
  <w:footnote w:type="continuationSeparator" w:id="0">
    <w:p w14:paraId="198ABD32" w14:textId="77777777" w:rsidR="00F532CA" w:rsidRDefault="00F532C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251A30"/>
    <w:multiLevelType w:val="hybridMultilevel"/>
    <w:tmpl w:val="A176B8A8"/>
    <w:lvl w:ilvl="0" w:tplc="9C02882A">
      <w:start w:val="1"/>
      <w:numFmt w:val="bullet"/>
      <w:lvlText w:val="●"/>
      <w:lvlJc w:val="left"/>
      <w:pPr>
        <w:ind w:left="720" w:hanging="360"/>
      </w:pPr>
    </w:lvl>
    <w:lvl w:ilvl="1" w:tplc="23C232CC">
      <w:start w:val="1"/>
      <w:numFmt w:val="bullet"/>
      <w:lvlText w:val="○"/>
      <w:lvlJc w:val="left"/>
      <w:pPr>
        <w:ind w:left="1440" w:hanging="360"/>
      </w:pPr>
    </w:lvl>
    <w:lvl w:ilvl="2" w:tplc="36EC4A24">
      <w:start w:val="1"/>
      <w:numFmt w:val="bullet"/>
      <w:lvlText w:val="■"/>
      <w:lvlJc w:val="left"/>
      <w:pPr>
        <w:ind w:left="2160" w:hanging="360"/>
      </w:pPr>
    </w:lvl>
    <w:lvl w:ilvl="3" w:tplc="C51416D8">
      <w:start w:val="1"/>
      <w:numFmt w:val="bullet"/>
      <w:lvlText w:val="●"/>
      <w:lvlJc w:val="left"/>
      <w:pPr>
        <w:ind w:left="2880" w:hanging="360"/>
      </w:pPr>
    </w:lvl>
    <w:lvl w:ilvl="4" w:tplc="A342A81E">
      <w:start w:val="1"/>
      <w:numFmt w:val="bullet"/>
      <w:lvlText w:val="○"/>
      <w:lvlJc w:val="left"/>
      <w:pPr>
        <w:ind w:left="3600" w:hanging="360"/>
      </w:pPr>
    </w:lvl>
    <w:lvl w:ilvl="5" w:tplc="2A9C224A">
      <w:start w:val="1"/>
      <w:numFmt w:val="bullet"/>
      <w:lvlText w:val="■"/>
      <w:lvlJc w:val="left"/>
      <w:pPr>
        <w:ind w:left="4320" w:hanging="360"/>
      </w:pPr>
    </w:lvl>
    <w:lvl w:ilvl="6" w:tplc="CCF09764">
      <w:start w:val="1"/>
      <w:numFmt w:val="bullet"/>
      <w:lvlText w:val="●"/>
      <w:lvlJc w:val="left"/>
      <w:pPr>
        <w:ind w:left="5040" w:hanging="360"/>
      </w:pPr>
    </w:lvl>
    <w:lvl w:ilvl="7" w:tplc="57E4385A">
      <w:start w:val="1"/>
      <w:numFmt w:val="bullet"/>
      <w:lvlText w:val="●"/>
      <w:lvlJc w:val="left"/>
      <w:pPr>
        <w:ind w:left="5760" w:hanging="360"/>
      </w:pPr>
    </w:lvl>
    <w:lvl w:ilvl="8" w:tplc="346472D2">
      <w:start w:val="1"/>
      <w:numFmt w:val="bullet"/>
      <w:lvlText w:val="●"/>
      <w:lvlJc w:val="left"/>
      <w:pPr>
        <w:ind w:left="6480" w:hanging="360"/>
      </w:pPr>
    </w:lvl>
  </w:abstractNum>
  <w:abstractNum w:abstractNumId="1" w15:restartNumberingAfterBreak="0">
    <w:nsid w:val="5561435D"/>
    <w:multiLevelType w:val="hybridMultilevel"/>
    <w:tmpl w:val="1292D4A4"/>
    <w:lvl w:ilvl="0" w:tplc="375C3BAE">
      <w:start w:val="1"/>
      <w:numFmt w:val="bullet"/>
      <w:lvlText w:val="•"/>
      <w:lvlJc w:val="left"/>
      <w:pPr>
        <w:ind w:left="300" w:hanging="200"/>
      </w:pPr>
    </w:lvl>
    <w:lvl w:ilvl="1" w:tplc="0D586DA0">
      <w:start w:val="1"/>
      <w:numFmt w:val="bullet"/>
      <w:lvlText w:val="–"/>
      <w:lvlJc w:val="left"/>
      <w:pPr>
        <w:ind w:left="580" w:hanging="200"/>
      </w:pPr>
    </w:lvl>
    <w:lvl w:ilvl="2" w:tplc="31C475BC">
      <w:numFmt w:val="decimal"/>
      <w:lvlText w:val=""/>
      <w:lvlJc w:val="left"/>
    </w:lvl>
    <w:lvl w:ilvl="3" w:tplc="13EA5BD6">
      <w:numFmt w:val="decimal"/>
      <w:lvlText w:val=""/>
      <w:lvlJc w:val="left"/>
    </w:lvl>
    <w:lvl w:ilvl="4" w:tplc="9C2254DC">
      <w:numFmt w:val="decimal"/>
      <w:lvlText w:val=""/>
      <w:lvlJc w:val="left"/>
    </w:lvl>
    <w:lvl w:ilvl="5" w:tplc="1020F0A6">
      <w:numFmt w:val="decimal"/>
      <w:lvlText w:val=""/>
      <w:lvlJc w:val="left"/>
    </w:lvl>
    <w:lvl w:ilvl="6" w:tplc="BD96BEA6">
      <w:numFmt w:val="decimal"/>
      <w:lvlText w:val=""/>
      <w:lvlJc w:val="left"/>
    </w:lvl>
    <w:lvl w:ilvl="7" w:tplc="7EB2012A">
      <w:numFmt w:val="decimal"/>
      <w:lvlText w:val=""/>
      <w:lvlJc w:val="left"/>
    </w:lvl>
    <w:lvl w:ilvl="8" w:tplc="2B3E45B2">
      <w:numFmt w:val="decimal"/>
      <w:lvlText w:val=""/>
      <w:lvlJc w:val="left"/>
    </w:lvl>
  </w:abstractNum>
  <w:num w:numId="1" w16cid:durableId="1432043742">
    <w:abstractNumId w:val="0"/>
    <w:lvlOverride w:ilvl="0">
      <w:startOverride w:val="1"/>
    </w:lvlOverride>
  </w:num>
  <w:num w:numId="2" w16cid:durableId="106634075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5536"/>
    <w:rsid w:val="000D3CEE"/>
    <w:rsid w:val="001A7A37"/>
    <w:rsid w:val="002020E2"/>
    <w:rsid w:val="00526B54"/>
    <w:rsid w:val="00561D86"/>
    <w:rsid w:val="00612915"/>
    <w:rsid w:val="006B6075"/>
    <w:rsid w:val="006C686E"/>
    <w:rsid w:val="006F27DD"/>
    <w:rsid w:val="0074663A"/>
    <w:rsid w:val="008A0360"/>
    <w:rsid w:val="008F099D"/>
    <w:rsid w:val="00C85536"/>
    <w:rsid w:val="00D06EF5"/>
    <w:rsid w:val="00D82E47"/>
    <w:rsid w:val="00E50ABA"/>
    <w:rsid w:val="00F532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84A120"/>
  <w15:docId w15:val="{4F1717B4-C884-46C6-8483-BED01DED9D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18"/>
        <w:szCs w:val="1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2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d6753151-cad2-406f-bf4a-123fcb45e0f6}" enabled="1" method="Standard" siteId="{00ba9218-5be4-4186-9d71-2a543b44bf63}" contentBits="0" removed="0"/>
</clbl:labelList>
</file>

<file path=docProps/app.xml><?xml version="1.0" encoding="utf-8"?>
<Properties xmlns="http://schemas.openxmlformats.org/officeDocument/2006/extended-properties" xmlns:vt="http://schemas.openxmlformats.org/officeDocument/2006/docPropsVTypes">
  <Template>Normal</Template>
  <TotalTime>144</TotalTime>
  <Pages>4</Pages>
  <Words>1958</Words>
  <Characters>11164</Characters>
  <Application>Microsoft Office Word</Application>
  <DocSecurity>0</DocSecurity>
  <Lines>93</Lines>
  <Paragraphs>26</Paragraphs>
  <ScaleCrop>false</ScaleCrop>
  <Company/>
  <LinksUpToDate>false</LinksUpToDate>
  <CharactersWithSpaces>13096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Manik Choudhary</cp:lastModifiedBy>
  <cp:revision>9</cp:revision>
  <dcterms:created xsi:type="dcterms:W3CDTF">2026-09-26T01:43:00Z</dcterms:created>
  <dcterms:modified xsi:type="dcterms:W3CDTF">2026-09-26T09:45:00Z</dcterms:modified>
</cp:coreProperties>
</file>