
<file path=[Content_Types].xml><?xml version="1.0" encoding="utf-8"?>
<Types xmlns="http://schemas.openxmlformats.org/package/2006/content-types">
  <Default Extension="png" ContentType="image/pn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a="http://schemas.openxmlformats.org/drawingml/2006/main" xmlns:pic="http://schemas.openxmlformats.org/drawingml/2006/picture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14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UCab Premium - MERN Cab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spacing w:before="360" w:after="120"/>
        <w:rPr>
          <w:b w:val="1"/>
          <w:sz w:val="26"/>
          <w:szCs w:val="26"/>
        </w:rPr>
      </w:pPr>
      <w:r>
        <w:rPr>
          <w:b w:val="1"/>
          <w:sz w:val="26"/>
          <w:szCs w:val="26"/>
        </w:rPr>
        <w:t xml:space="preserve">Solution Architecture Diagram – UCab Premium</w:t>
      </w:r>
    </w:p>
    <w:p>
      <w:pPr>
        <w:jc w:val="center"/>
      </w:pPr>
      <w:r>
        <w:rPr/>
        <w:drawing>
          <wp:inline distB="0" distT="0" distL="0" distR="0">
            <wp:extent cx="5486400" cy="4531407"/>
            <wp:effectExtent b="0" l="0" r="0" t="0"/>
            <wp:docPr id="200" name="UCab Premium Architecture" descr="UCab Premium solution architecture diagram"/>
            <a:graphic>
              <a:graphicData uri="http://schemas.openxmlformats.org/drawingml/2006/picture">
                <pic:pic>
                  <pic:nvPicPr>
                    <pic:cNvPr id="0" name="arch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  <w:rPr>
          <w:i w:val="1"/>
          <w:sz w:val="20"/>
          <w:szCs w:val="20"/>
        </w:rPr>
      </w:pPr>
      <w:r>
        <w:rPr>
          <w:i w:val="1"/>
          <w:sz w:val="20"/>
          <w:szCs w:val="20"/>
        </w:rPr>
        <w:t xml:space="preserve">Figure 1: Three-tier MERN architecture of UCab Premium showing the Client, Application, and Data layers.</w:t>
      </w:r>
    </w:p>
    <w:p>
      <w:pPr>
        <w:spacing w:before="240" w:after="120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 xml:space="preserve">Architecture Component Description</w:t>
      </w:r>
    </w:p>
    <w:tbl>
      <w:tblPr>
        <w:tblW w:w="93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2600"/>
        <w:gridCol w:w="6700"/>
      </w:tblGrid>
      <w:tr>
        <w:tc>
          <w:tcPr>
            <w:tcW w:w="26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w="6700" w:type="dxa"/>
            <w:shd w:val="clear" w:fill="1F3864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Client Layer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 role-based React (Vite) SPAs (Rider, Driver, Admin) across 23 total pages consuming REST APIs over HTTPS.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Auth Service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Issues and verifies JWTs; enforces role-based access control (RBAC) for Rider / Driver / Admin routes.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Booking Service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Drives the five-stage booking lifecycle state machine (Requested -&gt; Accepted -&gt; In-Progress -&gt; Completed -&gt; Rated) across 35 REST endpoints in 5 resource groups.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Analytics Service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Aggregates ride, earnings, and performance data for Recharts-powered dashboards used by Admin and Driver roles.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Receipt Service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Generates downloadable PDF trip receipts via PDFKit once a booking reaches the Completed stage.</w:t>
            </w:r>
          </w:p>
        </w:tc>
      </w:tr>
      <w:tr>
        <w:tc>
          <w:tcPr>
            <w:tcW w:w="26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Data Layer</w:t>
            </w:r>
          </w:p>
        </w:tc>
        <w:tc>
          <w:tcPr>
            <w:tcW w:w="6700" w:type="dxa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MongoDB with 5 Mongoose-modeled collections (Users, Rides, Vehicles, Payments, Ratings) in an MVC backend architecture.</w:t>
            </w:r>
          </w:p>
        </w:tc>
      </w:tr>
    </w:tbl>
    <w:p>
      <w:pPr>
        <w:spacing w:before="240" w:after="120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0" Type="http://schemas.openxmlformats.org/officeDocument/2006/relationships/image" Target="media/image_arch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