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14 July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6B18FD7C" w:rsidR="004360B1" w:rsidRDefault="004360B1">
            <w:r>
              <w:t>UCab Premium - MERN Cab Booking System</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  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p>
      <w:pPr>
        <w:spacing w:before="360" w:after="120"/>
        <w:rPr>
          <w:b w:val="1"/>
          <w:sz w:val="26"/>
          <w:szCs w:val="26"/>
        </w:rPr>
      </w:pPr>
      <w:r>
        <w:rPr>
          <w:b w:val="1"/>
          <w:sz w:val="26"/>
          <w:szCs w:val="26"/>
        </w:rPr>
        <w:t xml:space="preserve">Our Problem – Solution Fit – UCab Premium</w:t>
      </w:r>
    </w:p>
    <w:tbl>
      <w:tblPr>
        <w:tblW w:w="9300" w:type="dxa"/>
        <w:tblBorders>
          <w:top w:val="single" w:sz="4" w:color="BFBFBF"/>
          <w:left w:val="single" w:sz="4" w:color="BFBFBF"/>
          <w:bottom w:val="single" w:sz="4" w:color="BFBFBF"/>
          <w:right w:val="single" w:sz="4" w:color="BFBFBF"/>
          <w:insideH w:val="single" w:sz="4" w:color="BFBFBF"/>
          <w:insideV w:val="single" w:sz="4" w:color="BFBFBF"/>
        </w:tblBorders>
        <w:tblLook w:val="04A0"/>
      </w:tblPr>
      <w:tblGrid>
        <w:gridCol w:w="2800"/>
        <w:gridCol w:w="6500"/>
      </w:tblGrid>
      <w:tr>
        <w:tc>
          <w:tcPr>
            <w:tcW w:w="2800" w:type="dxa"/>
            <w:shd w:val="clear" w:fill="1F3864"/>
          </w:tcPr>
          <w:p>
            <w:pPr>
              <w:rPr>
                <w:b w:val="1"/>
                <w:color w:val="FFFFFF"/>
                <w:sz w:val="22"/>
                <w:szCs w:val="22"/>
              </w:rPr>
            </w:pPr>
            <w:r>
              <w:rPr>
                <w:b w:val="1"/>
                <w:color w:val="FFFFFF"/>
                <w:sz w:val="22"/>
                <w:szCs w:val="22"/>
              </w:rPr>
              <w:t xml:space="preserve">Existing Alternatives</w:t>
            </w:r>
          </w:p>
        </w:tc>
        <w:tc>
          <w:tcPr>
            <w:tcW w:w="6500" w:type="dxa"/>
          </w:tcPr>
          <w:p>
            <w:pPr>
              <w:rPr>
                <w:sz w:val="22"/>
                <w:szCs w:val="22"/>
              </w:rPr>
            </w:pPr>
            <w:r>
              <w:rPr>
                <w:sz w:val="22"/>
                <w:szCs w:val="22"/>
              </w:rPr>
              <w:t xml:space="preserve">Street-hailed autos/taxis, phone calls to known drivers, and generic ride-hailing apps not tuned to local tier-2/tier-3 demand.</w:t>
            </w:r>
          </w:p>
        </w:tc>
      </w:tr>
      <w:tr>
        <w:tc>
          <w:tcPr>
            <w:tcW w:w="2800" w:type="dxa"/>
            <w:shd w:val="clear" w:fill="1F3864"/>
          </w:tcPr>
          <w:p>
            <w:pPr>
              <w:rPr>
                <w:b w:val="1"/>
                <w:color w:val="FFFFFF"/>
                <w:sz w:val="22"/>
                <w:szCs w:val="22"/>
              </w:rPr>
            </w:pPr>
            <w:r>
              <w:rPr>
                <w:b w:val="1"/>
                <w:color w:val="FFFFFF"/>
                <w:sz w:val="22"/>
                <w:szCs w:val="22"/>
              </w:rPr>
              <w:t xml:space="preserve">Behaviour / Triggers</w:t>
            </w:r>
          </w:p>
        </w:tc>
        <w:tc>
          <w:tcPr>
            <w:tcW w:w="6500" w:type="dxa"/>
          </w:tcPr>
          <w:p>
            <w:pPr>
              <w:rPr>
                <w:sz w:val="22"/>
                <w:szCs w:val="22"/>
              </w:rPr>
            </w:pPr>
            <w:r>
              <w:rPr>
                <w:sz w:val="22"/>
                <w:szCs w:val="22"/>
              </w:rPr>
              <w:t xml:space="preserve">Commuters open a booking channel the moment they need to leave; drivers switch on availability whenever free between trips.</w:t>
            </w:r>
          </w:p>
        </w:tc>
      </w:tr>
      <w:tr>
        <w:tc>
          <w:tcPr>
            <w:tcW w:w="2800" w:type="dxa"/>
            <w:shd w:val="clear" w:fill="1F3864"/>
          </w:tcPr>
          <w:p>
            <w:pPr>
              <w:rPr>
                <w:b w:val="1"/>
                <w:color w:val="FFFFFF"/>
                <w:sz w:val="22"/>
                <w:szCs w:val="22"/>
              </w:rPr>
            </w:pPr>
            <w:r>
              <w:rPr>
                <w:b w:val="1"/>
                <w:color w:val="FFFFFF"/>
                <w:sz w:val="22"/>
                <w:szCs w:val="22"/>
              </w:rPr>
              <w:t xml:space="preserve">Customer Segments</w:t>
            </w:r>
          </w:p>
        </w:tc>
        <w:tc>
          <w:tcPr>
            <w:tcW w:w="6500" w:type="dxa"/>
          </w:tcPr>
          <w:p>
            <w:pPr>
              <w:rPr>
                <w:sz w:val="22"/>
                <w:szCs w:val="22"/>
              </w:rPr>
            </w:pPr>
            <w:r>
              <w:rPr>
                <w:sz w:val="22"/>
                <w:szCs w:val="22"/>
              </w:rPr>
              <w:t xml:space="preserve">Daily office/college commuters (Riders), independent or fleet cab drivers (Drivers), and platform operations staff (Admins).</w:t>
            </w:r>
          </w:p>
        </w:tc>
      </w:tr>
      <w:tr>
        <w:tc>
          <w:tcPr>
            <w:tcW w:w="2800" w:type="dxa"/>
            <w:shd w:val="clear" w:fill="1F3864"/>
          </w:tcPr>
          <w:p>
            <w:pPr>
              <w:rPr>
                <w:b w:val="1"/>
                <w:color w:val="FFFFFF"/>
                <w:sz w:val="22"/>
                <w:szCs w:val="22"/>
              </w:rPr>
            </w:pPr>
            <w:r>
              <w:rPr>
                <w:b w:val="1"/>
                <w:color w:val="FFFFFF"/>
                <w:sz w:val="22"/>
                <w:szCs w:val="22"/>
              </w:rPr>
              <w:t xml:space="preserve">High-Level Concept</w:t>
            </w:r>
          </w:p>
        </w:tc>
        <w:tc>
          <w:tcPr>
            <w:tcW w:w="6500" w:type="dxa"/>
          </w:tcPr>
          <w:p>
            <w:pPr>
              <w:rPr>
                <w:sz w:val="22"/>
                <w:szCs w:val="22"/>
              </w:rPr>
            </w:pPr>
            <w:r>
              <w:rPr>
                <w:sz w:val="22"/>
                <w:szCs w:val="22"/>
              </w:rPr>
              <w:t xml:space="preserve">A three-role MERN web platform (UCab Premium) that digitizes the entire booking lifecycle from request to receipt.</w:t>
            </w:r>
          </w:p>
        </w:tc>
      </w:tr>
      <w:tr>
        <w:tc>
          <w:tcPr>
            <w:tcW w:w="2800" w:type="dxa"/>
            <w:shd w:val="clear" w:fill="1F3864"/>
          </w:tcPr>
          <w:p>
            <w:pPr>
              <w:rPr>
                <w:b w:val="1"/>
                <w:color w:val="FFFFFF"/>
                <w:sz w:val="22"/>
                <w:szCs w:val="22"/>
              </w:rPr>
            </w:pPr>
            <w:r>
              <w:rPr>
                <w:b w:val="1"/>
                <w:color w:val="FFFFFF"/>
                <w:sz w:val="22"/>
                <w:szCs w:val="22"/>
              </w:rPr>
              <w:t xml:space="preserve">Existing Problems</w:t>
            </w:r>
          </w:p>
        </w:tc>
        <w:tc>
          <w:tcPr>
            <w:tcW w:w="6500" w:type="dxa"/>
          </w:tcPr>
          <w:p>
            <w:pPr>
              <w:rPr>
                <w:sz w:val="22"/>
                <w:szCs w:val="22"/>
              </w:rPr>
            </w:pPr>
            <w:r>
              <w:rPr>
                <w:sz w:val="22"/>
                <w:szCs w:val="22"/>
              </w:rPr>
              <w:t xml:space="preserve">No real-time availability visibility, opaque fares, no trip history/receipts, and no admin oversight of driver-rider activity.</w:t>
            </w:r>
          </w:p>
        </w:tc>
      </w:tr>
      <w:tr>
        <w:tc>
          <w:tcPr>
            <w:tcW w:w="2800" w:type="dxa"/>
            <w:shd w:val="clear" w:fill="1F3864"/>
          </w:tcPr>
          <w:p>
            <w:pPr>
              <w:rPr>
                <w:b w:val="1"/>
                <w:color w:val="FFFFFF"/>
                <w:sz w:val="22"/>
                <w:szCs w:val="22"/>
              </w:rPr>
            </w:pPr>
            <w:r>
              <w:rPr>
                <w:b w:val="1"/>
                <w:color w:val="FFFFFF"/>
                <w:sz w:val="22"/>
                <w:szCs w:val="22"/>
              </w:rPr>
              <w:t xml:space="preserve">Proposed Solution / Fit</w:t>
            </w:r>
          </w:p>
        </w:tc>
        <w:tc>
          <w:tcPr>
            <w:tcW w:w="6500" w:type="dxa"/>
          </w:tcPr>
          <w:p>
            <w:pPr>
              <w:rPr>
                <w:sz w:val="22"/>
                <w:szCs w:val="22"/>
              </w:rPr>
            </w:pPr>
            <w:r>
              <w:rPr>
                <w:sz w:val="22"/>
                <w:szCs w:val="22"/>
              </w:rPr>
              <w:t xml:space="preserve">A five-stage booking state machine (Requested -&gt; Accepted -&gt; In-Progress -&gt; Completed -&gt; Rated) with JWT auth, role-based access, live analytics dashboards, and auto-generated PDF receipts closes the gap between informal booking habits and a trustworthy digital experience.</w:t>
            </w:r>
          </w:p>
        </w:tc>
      </w:tr>
    </w:tbl>
    <w:p>
      <w:pPr>
        <w:spacing w:before="240" w:after="120"/>
        <w:rPr>
          <w:sz w:val="22"/>
          <w:szCs w:val="22"/>
        </w:rPr>
      </w:pPr>
      <w:r>
        <w:rPr>
          <w:sz w:val="22"/>
          <w:szCs w:val="22"/>
        </w:rPr>
        <w:t xml:space="preserve"/>
      </w: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