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7"/>
        <w:spacing w:before="120" w:line="360" w:lineRule="auto"/>
        <w:ind w:left="0" w:leftChars="0" w:firstLine="0" w:firstLineChars="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2. 以下内部推荐情况不享有内部推荐奖金：</w:t>
      </w:r>
    </w:p>
    <w:p>
      <w:pPr>
        <w:pStyle w:val="7"/>
        <w:spacing w:before="120" w:line="360" w:lineRule="auto"/>
        <w:ind w:left="420" w:firstLine="0" w:firstLineChars="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1). 推荐人所提供信息有误、作假或不完整（若有刻意隐瞒情况，情节严重者开除处理）；</w:t>
      </w:r>
    </w:p>
    <w:p>
      <w:pPr>
        <w:pStyle w:val="7"/>
        <w:spacing w:before="120" w:line="360" w:lineRule="auto"/>
        <w:ind w:left="420" w:firstLine="0" w:firstLineChars="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2). 推荐人于发放内部推荐奖金前离职；</w:t>
      </w:r>
    </w:p>
    <w:p>
      <w:pPr>
        <w:pStyle w:val="7"/>
        <w:spacing w:before="120" w:line="360" w:lineRule="auto"/>
        <w:ind w:left="420" w:firstLine="0" w:firstLineChars="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3). 推荐人为招聘部人员；</w:t>
      </w:r>
    </w:p>
    <w:p>
      <w:pPr>
        <w:pStyle w:val="7"/>
        <w:spacing w:before="120" w:line="360" w:lineRule="auto"/>
        <w:ind w:firstLine="0" w:firstLineChars="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注：华侨内推费和外籍员工保持一致</w:t>
      </w:r>
    </w:p>
    <w:p>
      <w:pPr>
        <w:pStyle w:val="7"/>
        <w:spacing w:line="360" w:lineRule="auto"/>
        <w:ind w:firstLine="0" w:firstLineChars="0"/>
        <w:outlineLvl w:val="1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(三）、发放方式</w:t>
      </w:r>
    </w:p>
    <w:p>
      <w:pPr>
        <w:pStyle w:val="7"/>
        <w:spacing w:before="120" w:line="360" w:lineRule="auto"/>
        <w:ind w:firstLine="210" w:firstLineChars="10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1. 内推奖金将于被推荐人转正后发放。</w:t>
      </w:r>
    </w:p>
    <w:p>
      <w:pPr>
        <w:pStyle w:val="7"/>
        <w:spacing w:before="120" w:line="360" w:lineRule="auto"/>
        <w:ind w:firstLine="210" w:firstLineChars="100"/>
        <w:rPr>
          <w:rFonts w:ascii="华文细黑" w:hAnsi="华文细黑" w:eastAsia="华文细黑" w:cs="华文细黑"/>
          <w:szCs w:val="21"/>
        </w:rPr>
      </w:pPr>
      <w:r>
        <w:rPr>
          <w:rFonts w:hint="eastAsia" w:ascii="华文细黑" w:hAnsi="华文细黑" w:eastAsia="华文细黑" w:cs="华文细黑"/>
          <w:szCs w:val="21"/>
        </w:rPr>
        <w:t>2. 内推奖金将随薪资一起发放。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9" w:name="_GoBack"/>
    <w:bookmarkEnd w:id="9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ind w:firstLine="3602" w:firstLineChars="1000"/>
      <w:outlineLvl w:val="0"/>
      <w:rPr>
        <w:rFonts w:ascii="华文细黑" w:hAnsi="华文细黑" w:eastAsia="华文细黑" w:cs="华文细黑"/>
        <w:szCs w:val="21"/>
        <w:u w:val="single"/>
      </w:rPr>
    </w:pPr>
    <w:r>
      <w:rPr>
        <w:rFonts w:hint="eastAsia" w:ascii="等线" w:hAnsi="等线" w:eastAsia="等线" w:cs="等线"/>
        <w:b/>
        <w:bCs/>
        <w:color w:val="000000"/>
        <w:kern w:val="0"/>
        <w:sz w:val="36"/>
        <w:szCs w:val="36"/>
        <w:u w:val="single"/>
        <w:lang w:bidi="ar"/>
      </w:rPr>
      <w:t>内推制度</w:t>
    </w:r>
    <w:r>
      <w:rPr>
        <w:rFonts w:hint="eastAsia" w:ascii="华文细黑" w:hAnsi="华文细黑" w:eastAsia="华文细黑" w:cs="华文细黑"/>
        <w:szCs w:val="21"/>
        <w:u w:val="single"/>
      </w:rPr>
      <w:t xml:space="preserve"> </w:t>
    </w:r>
  </w:p>
  <w:p>
    <w:pPr>
      <w:pStyle w:val="7"/>
      <w:spacing w:line="360" w:lineRule="auto"/>
      <w:ind w:firstLine="0" w:firstLineChars="0"/>
      <w:outlineLvl w:val="1"/>
      <w:rPr>
        <w:rFonts w:ascii="宋体" w:hAnsi="宋体" w:eastAsia="宋体"/>
        <w:b/>
        <w:bCs/>
        <w:sz w:val="24"/>
        <w:szCs w:val="24"/>
      </w:rPr>
    </w:pPr>
    <w:bookmarkStart w:id="0" w:name="_Toc33108136"/>
    <w:bookmarkStart w:id="1" w:name="_Toc3231"/>
    <w:bookmarkStart w:id="2" w:name="_Toc24408306"/>
    <w:r>
      <w:rPr>
        <w:rFonts w:hint="eastAsia" w:ascii="宋体" w:hAnsi="宋体" w:eastAsia="宋体"/>
        <w:b/>
        <w:bCs/>
        <w:sz w:val="24"/>
        <w:szCs w:val="24"/>
      </w:rPr>
      <w:t>（一）、推荐流程与要求</w:t>
    </w:r>
    <w:bookmarkEnd w:id="0"/>
    <w:bookmarkEnd w:id="1"/>
    <w:bookmarkEnd w:id="2"/>
  </w:p>
  <w:p>
    <w:pPr>
      <w:pStyle w:val="7"/>
      <w:spacing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bookmarkStart w:id="3" w:name="_Toc24408307"/>
    <w:r>
      <w:rPr>
        <w:rFonts w:hint="eastAsia" w:ascii="华文细黑" w:hAnsi="华文细黑" w:eastAsia="华文细黑" w:cs="华文细黑"/>
        <w:szCs w:val="21"/>
      </w:rPr>
      <w:t>1. 岗位发布</w:t>
    </w:r>
    <w:bookmarkEnd w:id="3"/>
    <w:r>
      <w:rPr>
        <w:rFonts w:hint="eastAsia" w:ascii="华文细黑" w:hAnsi="华文细黑" w:eastAsia="华文细黑" w:cs="华文细黑"/>
        <w:szCs w:val="21"/>
      </w:rPr>
      <w:t>：人力资源部门每月内推日公布岗位需求计划和岗位招聘标准。</w:t>
    </w:r>
  </w:p>
  <w:p>
    <w:pPr>
      <w:pStyle w:val="7"/>
      <w:spacing w:before="120"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bookmarkStart w:id="4" w:name="_Toc24408308"/>
    <w:r>
      <w:rPr>
        <w:rFonts w:hint="eastAsia" w:ascii="华文细黑" w:hAnsi="华文细黑" w:eastAsia="华文细黑" w:cs="华文细黑"/>
        <w:szCs w:val="21"/>
      </w:rPr>
      <w:t>2. 员工推荐</w:t>
    </w:r>
    <w:bookmarkEnd w:id="4"/>
    <w:r>
      <w:rPr>
        <w:rFonts w:hint="eastAsia" w:ascii="华文细黑" w:hAnsi="华文细黑" w:eastAsia="华文细黑" w:cs="华文细黑"/>
        <w:szCs w:val="21"/>
      </w:rPr>
      <w:t>：举荐人提供被举荐人关键信息（姓名、联系方式、简历等）至空缺岗位的招聘负责人。</w:t>
    </w:r>
    <w:bookmarkStart w:id="5" w:name="_Toc24408310"/>
  </w:p>
  <w:p>
    <w:pPr>
      <w:pStyle w:val="7"/>
      <w:spacing w:line="360" w:lineRule="auto"/>
      <w:ind w:firstLine="0" w:firstLineChars="0"/>
      <w:outlineLvl w:val="1"/>
      <w:rPr>
        <w:rFonts w:ascii="宋体" w:hAnsi="宋体" w:eastAsia="宋体"/>
        <w:b/>
        <w:bCs/>
        <w:sz w:val="24"/>
        <w:szCs w:val="24"/>
      </w:rPr>
    </w:pPr>
    <w:bookmarkStart w:id="6" w:name="_Toc12397"/>
    <w:r>
      <w:rPr>
        <w:rFonts w:hint="eastAsia" w:ascii="宋体" w:hAnsi="宋体" w:eastAsia="宋体"/>
        <w:b/>
        <w:bCs/>
        <w:sz w:val="24"/>
        <w:szCs w:val="24"/>
      </w:rPr>
      <w:t>（二）、入职及奖金发放</w:t>
    </w:r>
    <w:bookmarkEnd w:id="5"/>
    <w:bookmarkEnd w:id="6"/>
  </w:p>
  <w:p>
    <w:pPr>
      <w:pStyle w:val="7"/>
      <w:spacing w:before="120"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1. 根据录用的岗位不同发放推荐奖励，具体标准如下；</w:t>
    </w:r>
  </w:p>
  <w:tbl>
    <w:tblPr>
      <w:tblStyle w:val="5"/>
      <w:tblpPr w:leftFromText="180" w:rightFromText="180" w:vertAnchor="text" w:horzAnchor="margin" w:tblpY="35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6"/>
      <w:gridCol w:w="2047"/>
      <w:gridCol w:w="391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00" w:hRule="atLeast"/>
      </w:trPr>
      <w:tc>
        <w:tcPr>
          <w:tcW w:w="1976" w:type="dxa"/>
          <w:shd w:val="clear" w:color="auto" w:fill="E7E6E6" w:themeFill="background2"/>
          <w:vAlign w:val="center"/>
        </w:tcPr>
        <w:p>
          <w:pPr>
            <w:pStyle w:val="7"/>
            <w:spacing w:before="120" w:line="360" w:lineRule="auto"/>
            <w:ind w:firstLine="0" w:firstLineChars="0"/>
            <w:jc w:val="center"/>
            <w:rPr>
              <w:rFonts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职能</w:t>
          </w:r>
        </w:p>
      </w:tc>
      <w:tc>
        <w:tcPr>
          <w:tcW w:w="2047" w:type="dxa"/>
          <w:shd w:val="clear" w:color="auto" w:fill="E7E6E6" w:themeFill="background2"/>
          <w:vAlign w:val="center"/>
        </w:tcPr>
        <w:p>
          <w:pPr>
            <w:pStyle w:val="7"/>
            <w:spacing w:before="120" w:line="360" w:lineRule="auto"/>
            <w:ind w:firstLine="0" w:firstLineChars="0"/>
            <w:jc w:val="center"/>
            <w:rPr>
              <w:rFonts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奖金标准（元/人）</w:t>
          </w:r>
        </w:p>
      </w:tc>
      <w:tc>
        <w:tcPr>
          <w:tcW w:w="3910" w:type="dxa"/>
          <w:shd w:val="clear" w:color="auto" w:fill="E7E6E6" w:themeFill="background2"/>
          <w:vAlign w:val="center"/>
        </w:tcPr>
        <w:p>
          <w:pPr>
            <w:pStyle w:val="7"/>
            <w:spacing w:before="120" w:line="360" w:lineRule="auto"/>
            <w:ind w:firstLine="0" w:firstLineChars="0"/>
            <w:jc w:val="center"/>
            <w:rPr>
              <w:rFonts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/>
              <w:b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备注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5" w:hRule="atLeast"/>
      </w:trPr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助理岗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5000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5" w:hRule="atLeast"/>
      </w:trPr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人力资源岗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5000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不含招聘岗位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5" w:hRule="atLeast"/>
      </w:trPr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行政岗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5000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5" w:hRule="atLeast"/>
      </w:trPr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其他基础岗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5000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薪资不高于20000（含）/中介推荐岗位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5" w:hRule="atLeast"/>
      </w:trPr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技术岗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转正后的薪资总额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绩效不含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spacing w:before="120" w:line="360" w:lineRule="auto"/>
            <w:jc w:val="center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外籍技术岗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转正后的薪资总额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薪资高于100000比索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外籍员工</w:t>
          </w: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一个月薪资的10%</w:t>
          </w: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ascii="华文细黑" w:hAnsi="华文细黑" w:eastAsia="华文细黑" w:cs="华文细黑"/>
              <w:szCs w:val="21"/>
            </w:rPr>
          </w:pPr>
          <w:r>
            <w:rPr>
              <w:rFonts w:hint="eastAsia" w:ascii="华文细黑" w:hAnsi="华文细黑" w:eastAsia="华文细黑" w:cs="华文细黑"/>
              <w:szCs w:val="21"/>
            </w:rPr>
            <w:t>薪资不高于100000比索（含）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  <w:bookmarkStart w:id="7" w:name="_Toc24408313"/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976" w:type="dxa"/>
          <w:vAlign w:val="center"/>
        </w:tcPr>
        <w:p>
          <w:pPr>
            <w:pStyle w:val="7"/>
            <w:spacing w:before="120" w:line="360" w:lineRule="auto"/>
            <w:ind w:left="420"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2047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  <w:tc>
        <w:tcPr>
          <w:tcW w:w="3910" w:type="dxa"/>
          <w:vAlign w:val="center"/>
        </w:tcPr>
        <w:p>
          <w:pPr>
            <w:pStyle w:val="7"/>
            <w:spacing w:before="120" w:line="360" w:lineRule="auto"/>
            <w:ind w:firstLine="0" w:firstLineChars="0"/>
            <w:rPr>
              <w:rFonts w:hint="eastAsia" w:ascii="华文细黑" w:hAnsi="华文细黑" w:eastAsia="华文细黑" w:cs="华文细黑"/>
              <w:szCs w:val="21"/>
            </w:rPr>
          </w:pPr>
        </w:p>
      </w:tc>
    </w:tr>
  </w:tbl>
  <w:p>
    <w:pPr>
      <w:pStyle w:val="7"/>
      <w:spacing w:before="120" w:line="360" w:lineRule="auto"/>
      <w:ind w:firstLine="210" w:firstLineChars="10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2. 以下内部推荐情况不享有内部推荐奖金：</w:t>
    </w:r>
  </w:p>
  <w:p>
    <w:pPr>
      <w:pStyle w:val="7"/>
      <w:spacing w:before="120"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1). 推荐人所提供信息有误、作假或不完整（若有刻意隐瞒情况，情节严重者开除处理）；</w:t>
    </w:r>
  </w:p>
  <w:p>
    <w:pPr>
      <w:pStyle w:val="7"/>
      <w:spacing w:before="120"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2). 推荐人于发放内部推荐奖金前离职；</w:t>
    </w:r>
  </w:p>
  <w:p>
    <w:pPr>
      <w:pStyle w:val="7"/>
      <w:spacing w:before="120" w:line="360" w:lineRule="auto"/>
      <w:ind w:left="420" w:firstLine="0" w:firstLineChars="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3). 推荐人为招聘部人员；</w:t>
    </w:r>
  </w:p>
  <w:p>
    <w:pPr>
      <w:pStyle w:val="7"/>
      <w:spacing w:before="120" w:line="360" w:lineRule="auto"/>
      <w:ind w:firstLine="0" w:firstLineChars="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注：华侨内推费和外籍员工保持一致</w:t>
    </w:r>
  </w:p>
  <w:p>
    <w:pPr>
      <w:pStyle w:val="7"/>
      <w:spacing w:line="360" w:lineRule="auto"/>
      <w:ind w:firstLine="0" w:firstLineChars="0"/>
      <w:outlineLvl w:val="1"/>
      <w:rPr>
        <w:rFonts w:ascii="宋体" w:hAnsi="宋体" w:eastAsia="宋体"/>
        <w:b/>
        <w:bCs/>
        <w:sz w:val="24"/>
        <w:szCs w:val="24"/>
      </w:rPr>
    </w:pPr>
    <w:bookmarkStart w:id="8" w:name="_Toc11587"/>
    <w:r>
      <w:rPr>
        <w:rFonts w:hint="eastAsia" w:ascii="宋体" w:hAnsi="宋体" w:eastAsia="宋体"/>
        <w:b/>
        <w:bCs/>
        <w:sz w:val="24"/>
        <w:szCs w:val="24"/>
      </w:rPr>
      <w:t>(三）、发放方式</w:t>
    </w:r>
    <w:bookmarkEnd w:id="7"/>
    <w:bookmarkEnd w:id="8"/>
  </w:p>
  <w:p>
    <w:pPr>
      <w:pStyle w:val="7"/>
      <w:spacing w:before="120" w:line="360" w:lineRule="auto"/>
      <w:ind w:firstLine="210" w:firstLineChars="10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1. 内推奖金将于被推荐人转正后发放。</w:t>
    </w:r>
  </w:p>
  <w:p>
    <w:pPr>
      <w:pStyle w:val="7"/>
      <w:spacing w:before="120" w:line="360" w:lineRule="auto"/>
      <w:ind w:firstLine="210" w:firstLineChars="100"/>
      <w:rPr>
        <w:rFonts w:ascii="华文细黑" w:hAnsi="华文细黑" w:eastAsia="华文细黑" w:cs="华文细黑"/>
        <w:szCs w:val="21"/>
      </w:rPr>
    </w:pPr>
    <w:r>
      <w:rPr>
        <w:rFonts w:hint="eastAsia" w:ascii="华文细黑" w:hAnsi="华文细黑" w:eastAsia="华文细黑" w:cs="华文细黑"/>
        <w:szCs w:val="21"/>
      </w:rPr>
      <w:t>2. 内推奖金将随薪资一起发放。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62A9C"/>
    <w:rsid w:val="0A062A9C"/>
    <w:rsid w:val="76E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2021-12-16T09:25:00Z</dcterms:created>
  <dc:creator>MeetingRoomNote</dc:creator>
  <cp:lastModifiedBy>MeetingRoomNote</cp:lastModifiedBy>
  <dcterms:modified xsi:type="dcterms:W3CDTF">2021-12-16T10:24:03Z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407670A8355E4CBF9FB28C69282D5019</vt:lpwstr>
  </property>
</Properties>
</file>